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shd w:val="clear" w:color="auto" w:fill="00B050"/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</w:t>
            </w:r>
          </w:p>
        </w:tc>
      </w:tr>
      <w:tr>
        <w:tc>
          <w:tcPr>
            <w:tcW w:w="6000" w:type="dxa"/>
          </w:tcPr>
          <w:p>
            <w:r>
              <w:t xml:space="preserve">linha 2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Shd">
    <w:name w:val="TShd"/>
    <w:tblPr>
      <w:shd w:val="clear" w:color="auto" w:fill="00B050"/>
    </w:tblPr>
  </w:style>
  <w:style w:type="table" w:styleId="TShdCell">
    <w:name w:val="TShdCell"/>
    <w:tcPr>
      <w:shd w:val="clear" w:color="auto" w:fill="00B050"/>
    </w:tc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