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lang w:val="en-GB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8472"/>
      </w:pPr>
      <w:r>
        <w:rPr>
          <w:lang w:val="en-GB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left"/>
        <w:ind w:left="0" w:right="7872"/>
      </w:pPr>
      <w:r>
        <w:rPr>
          <w:lang w:val="en-GB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7872"/>
      </w:pPr>
      <w:r>
        <w:rPr>
          <w:lang w:val="en-GB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left"/>
        <w:ind w:left="0" w:right="7072"/>
      </w:pPr>
      <w:r>
        <w:rPr>
          <w:lang w:val="en-GB"/>
        </w:rPr>
        <w:t xml:space="preserve">The participation of intellectuals in technological qualifications was exceptionally controversial and environmentally irresponsible.</w:t>
      </w:r>
    </w:p>
    <w:p>
      <w:pPr>
        <w:spacing w:after="120"/>
        <w:jc w:val="both"/>
        <w:ind w:left="0" w:right="7072"/>
      </w:pPr>
      <w:r>
        <w:rPr>
          <w:lang w:val="en-GB"/>
        </w:rPr>
        <w:t xml:space="preserve">The participation of intellectuals in technological qualifications was exceptionally controversial and environmentally irresponsible.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