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uppressAutoHyphens/>
        <w:spacing w:after="120"/>
        <w:jc w:val="left"/>
        <w:ind w:left="0" w:right="84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left"/>
        <w:ind w:left="0" w:right="84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uppressAutoHyphens/>
        <w:spacing w:after="120"/>
        <w:jc w:val="left"/>
        <w:ind w:left="0" w:right="78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left"/>
        <w:ind w:left="0" w:right="7872"/>
      </w:pPr>
      <w:r>
        <w:t xml:space="preserve">A organização garante a confidencialidade das telecomunicações e a responsabilidade pela administração do desenvolvimento das transformações.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