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60"/>
        <w:ind w:left="0" w:right="8472"/>
      </w:pPr>
      <w:r>
        <w:t xml:space="preserve">responsabilidade administração desenvolvimento extraordinariamente comunicação internacional responsabilidade administração desenvolvimento extraordinariamente comunicação internacional responsabilidade administração desenvolvimento extraordinariamente comunicação internacional </w:t>
      </w:r>
    </w:p>
    <w:p>
      <w:pPr>
        <w:spacing w:after="160"/>
        <w:ind w:left="0" w:right="8472"/>
      </w:pPr>
      <w:r>
        <w:t xml:space="preserve">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</w:t>
      </w:r>
    </w:p>
    <w:p>
      <w:pPr>
        <w:spacing w:after="160"/>
        <w:ind w:left="0" w:right="9272"/>
      </w:pPr>
      <w:r>
        <w:t xml:space="preserve">guarda-chuva guarda-chuva guarda-chuva responsabilidade guarda-chuva administração guarda-chuva desenvolvimento guarda-chuva guarda-chuva guarda-chuva responsabilidade guarda-chuva administração guarda-chuva desenvolvimento 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