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666666"/>
          <w:sz w:val="20"/>
          <w:szCs w:val="20"/>
        </w:rPr>
        <w:t xml:space="preserve">AAFM × BuildableLabs</w:t>
      </w:r>
    </w:p>
    <w:p>
      <w:pPr>
        <w:spacing w:after="60"/>
      </w:pPr>
      <w:r>
        <w:rPr>
          <w:b/>
          <w:bCs/>
          <w:color w:val="1F3864"/>
          <w:sz w:val="32"/>
          <w:szCs w:val="32"/>
        </w:rPr>
        <w:t xml:space="preserve">Social Media Marketing Department — Recommended Tool Stack</w:t>
      </w:r>
    </w:p>
    <w:p>
      <w:pPr>
        <w:spacing w:after="260"/>
      </w:pPr>
      <w:r>
        <w:rPr>
          <w:i/>
          <w:iCs/>
          <w:color w:val="666666"/>
          <w:sz w:val="20"/>
          <w:szCs w:val="20"/>
        </w:rPr>
        <w:t xml:space="preserve">15 September 2026</w:t>
      </w:r>
    </w:p>
    <w:p>
      <w:pPr>
        <w:spacing w:after="140" w:line="276"/>
      </w:pPr>
      <w:r>
        <w:rPr>
          <w:sz w:val="21"/>
          <w:szCs w:val="21"/>
        </w:rPr>
        <w:t xml:space="preserve">This sets out the recommended tools for the Social Media Marketing Department's content lifecycle — scheduling, DM and lead automation, video repurposing, CRM and internal workflow — along with two additions that close out the remaining pieces of the team's workflow.</w:t>
      </w:r>
    </w:p>
    <w:p>
      <w:pPr>
        <w:pStyle w:val="Heading1"/>
        <w:pBdr>
          <w:bottom w:val="single" w:color="1F3864" w:sz="6" w:space="4"/>
        </w:pBdr>
        <w:spacing w:after="140" w:before="300"/>
      </w:pPr>
      <w:r>
        <w:rPr>
          <w:b/>
          <w:bCs/>
          <w:color w:val="1F3864"/>
          <w:sz w:val="25"/>
          <w:szCs w:val="25"/>
        </w:rPr>
        <w:t xml:space="preserve">Recommended Stack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4"/>
        <w:gridCol w:w="2614"/>
        <w:gridCol w:w="4852"/>
      </w:tblGrid>
      <w:tr>
        <w:trPr>
          <w:tblHeader/>
        </w:trPr>
        <w:tc>
          <w:tcPr>
            <w:tcW w:type="dxa" w:w="2614"/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614"/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Recommended Tool</w:t>
            </w:r>
          </w:p>
        </w:tc>
        <w:tc>
          <w:tcPr>
            <w:tcW w:type="dxa" w:w="4852"/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Covers</w:t>
            </w:r>
          </w:p>
        </w:tc>
      </w:tr>
      <w:tr>
        <w:trPr>
          <w:tblHeader w:val="false"/>
        </w:trPr>
        <w:tc>
          <w:tcPr>
            <w:tcW w:type="dxa" w:w="2614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Scheduling &amp; Publishing</w:t>
            </w:r>
          </w:p>
        </w:tc>
        <w:tc>
          <w:tcPr>
            <w:tcW w:type="dxa" w:w="2614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Zoho Social
(3 seats, ~₹1,800/month)</w:t>
            </w:r>
          </w:p>
        </w:tc>
        <w:tc>
          <w:tcPr>
            <w:tcW w:type="dxa" w:w="4852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Multi-platform scheduling and publishing. Configured so a post only goes live after final approval — automation sits downstream of the existing sign-off step, never around it.</w:t>
            </w:r>
          </w:p>
        </w:tc>
      </w:tr>
      <w:tr>
        <w:trPr>
          <w:tblHeader w:val="false"/>
        </w:trPr>
        <w:tc>
          <w:tcPr>
            <w:tcW w:type="dxa" w:w="2614"/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DM &amp; Comment Automation</w:t>
            </w:r>
          </w:p>
        </w:tc>
        <w:tc>
          <w:tcPr>
            <w:tcW w:type="dxa" w:w="2614"/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SuperProfile</w:t>
            </w:r>
          </w:p>
        </w:tc>
        <w:tc>
          <w:tcPr>
            <w:tcW w:type="dxa" w:w="4852"/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Comment-to-DM automation and keyword-triggered responses for lead capture. Anything outside the defined keywords — including anything that reads as a complaint or escalation — is routed to a team member for a manual reply rather than handled automatically.</w:t>
            </w:r>
          </w:p>
        </w:tc>
      </w:tr>
      <w:tr>
        <w:trPr>
          <w:tblHeader w:val="false"/>
        </w:trPr>
        <w:tc>
          <w:tcPr>
            <w:tcW w:type="dxa" w:w="2614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Video Repurposing</w:t>
            </w:r>
          </w:p>
        </w:tc>
        <w:tc>
          <w:tcPr>
            <w:tcW w:type="dxa" w:w="2614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ChatCut / Submagic / Eddie AI
(one-month trial)</w:t>
            </w:r>
          </w:p>
        </w:tc>
        <w:tc>
          <w:tcPr>
            <w:tcW w:type="dxa" w:w="4852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Converts long-form video into short-form clips with captions. All three will be trialled for a month; final choice confirmed based on output quality and fit with the team's footage.</w:t>
            </w:r>
          </w:p>
        </w:tc>
      </w:tr>
      <w:tr>
        <w:trPr>
          <w:tblHeader w:val="false"/>
        </w:trPr>
        <w:tc>
          <w:tcPr>
            <w:tcW w:type="dxa" w:w="2614"/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Lead Management</w:t>
            </w:r>
          </w:p>
        </w:tc>
        <w:tc>
          <w:tcPr>
            <w:tcW w:type="dxa" w:w="2614"/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Meritto (CRM)</w:t>
            </w:r>
          </w:p>
        </w:tc>
        <w:tc>
          <w:tcPr>
            <w:tcW w:type="dxa" w:w="4852"/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Leads captured via SuperProfile are logged into Meritto, assigned to the right department, and followed up automatically — completing the lead flow end to end.</w:t>
            </w:r>
          </w:p>
        </w:tc>
      </w:tr>
      <w:tr>
        <w:trPr>
          <w:tblHeader w:val="false"/>
        </w:trPr>
        <w:tc>
          <w:tcPr>
            <w:tcW w:type="dxa" w:w="2614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Internal Workflow &amp; Reporting</w:t>
            </w:r>
          </w:p>
        </w:tc>
        <w:tc>
          <w:tcPr>
            <w:tcW w:type="dxa" w:w="2614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Content Ops Tracker + Zoho Projects</w:t>
            </w:r>
          </w:p>
        </w:tc>
        <w:tc>
          <w:tcPr>
            <w:tcW w:type="dxa" w:w="4852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Content calendar, task assignment, approval gates and deadline reminders run through the Content Ops Tracker; Zoho Projects covers cross-department tracking. A connector tool (Zapier/Make) ties both to Zoho Social and Meritto for automatic hand-offs.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1F3864" w:sz="6" w:space="4"/>
        </w:pBdr>
        <w:spacing w:after="140" w:before="300"/>
      </w:pPr>
      <w:r>
        <w:rPr>
          <w:b/>
          <w:bCs/>
          <w:color w:val="1F3864"/>
          <w:sz w:val="25"/>
          <w:szCs w:val="25"/>
        </w:rPr>
        <w:t xml:space="preserve">Additional Recommendations</w:t>
      </w:r>
    </w:p>
    <w:p>
      <w:pPr>
        <w:spacing w:after="140" w:line="276"/>
      </w:pPr>
      <w:r>
        <w:rPr>
          <w:sz w:val="21"/>
          <w:szCs w:val="21"/>
        </w:rPr>
        <w:t xml:space="preserve">Two pieces of the team's day-to-day workflow aren't covered by the stack above and are proposed as small additions rather than new subscriptions: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b/>
          <w:bCs/>
          <w:sz w:val="21"/>
          <w:szCs w:val="21"/>
        </w:rPr>
        <w:t xml:space="preserve">Interdepartment content requests: </w:t>
      </w:r>
      <w:r>
        <w:rPr>
          <w:sz w:val="21"/>
          <w:szCs w:val="21"/>
        </w:rPr>
        <w:t xml:space="preserve">a simple intake form that creates a ticket directly in the Content Ops Tracker, giving other departments one place to request content instead of email or WhatsApp.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b/>
          <w:bCs/>
          <w:sz w:val="21"/>
          <w:szCs w:val="21"/>
        </w:rPr>
        <w:t xml:space="preserve">Content-mix reporting: </w:t>
      </w:r>
      <w:r>
        <w:rPr>
          <w:sz w:val="21"/>
          <w:szCs w:val="21"/>
        </w:rPr>
        <w:t xml:space="preserve">a category field on each content item in the Content Ops Tracker (Knowledge / Promotional / Insider Updates), with a simple periodic report pulled from it to keep the 60/20/20 split visible.</w:t>
      </w:r>
    </w:p>
    <w:p>
      <w:pPr>
        <w:pStyle w:val="Heading1"/>
        <w:pBdr>
          <w:bottom w:val="single" w:color="1F3864" w:sz="6" w:space="4"/>
        </w:pBdr>
        <w:spacing w:after="140" w:before="300"/>
      </w:pPr>
      <w:r>
        <w:rPr>
          <w:b/>
          <w:bCs/>
          <w:color w:val="1F3864"/>
          <w:sz w:val="25"/>
          <w:szCs w:val="25"/>
        </w:rPr>
        <w:t xml:space="preserve">Questions for the Team</w:t>
      </w:r>
    </w:p>
    <w:p>
      <w:pPr>
        <w:spacing w:after="120" w:line="270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Which two team members, alongside Priya, should get the Zoho Social scheduling seats?</w:t>
      </w:r>
    </w:p>
    <w:p>
      <w:pPr>
        <w:spacing w:after="120" w:line="270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What's the full list of DM keywords needed across programs (CWM, ChE, NISM tracks, etc.)? This determines the right SuperProfile plan tier.</w:t>
      </w:r>
    </w:p>
    <w:p>
      <w:pPr>
        <w:spacing w:after="120" w:line="270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Should the new Meritto license be scoped to lead-entry access only, or does the content team need broader CRM access?</w:t>
      </w:r>
    </w:p>
    <w:p>
      <w:pPr>
        <w:spacing w:after="120" w:line="270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Should the interdepartment request form and content-mix reporting be built now alongside the core stack, or phased in after?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2026-09-15T22:36:03.915Z</dcterms:created>
  <dcterms:modified xsi:type="dcterms:W3CDTF">2026-09-15T22:36:03.927Z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