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64"/>
        <w:gridCol w:w="4062"/>
      </w:tblGrid>
      <w:tr>
        <w:tc>
          <w:tcPr>
            <w:tcW w:type="dxa" w:w="49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13F" w:color="auto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pPr>
              <w:spacing w:after="16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BUSINESS PROPOSAL</w:t>
            </w:r>
          </w:p>
          <w:p>
            <w:r>
              <w:rPr>
                <w:color w:val="BCD3FB"/>
                <w:sz w:val="20"/>
                <w:szCs w:val="20"/>
              </w:rPr>
              <w:t xml:space="preserve">Transitioning Content Operations to a High-ROI Production House Model via Marketing Automation</w:t>
            </w:r>
          </w:p>
        </w:tc>
        <w:tc>
          <w:tcPr>
            <w:tcW w:type="dxa" w:w="40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13F" w:color="auto" w:val="clear"/>
            <w:tcMar>
              <w:top w:type="dxa" w:w="260"/>
              <w:left w:type="dxa" w:w="100"/>
              <w:bottom w:type="dxa" w:w="260"/>
              <w:right w:type="dxa" w:w="200"/>
            </w:tcMar>
            <w:vAlign w:val="center"/>
          </w:tcPr>
          <w:p>
            <w:pPr>
              <w:spacing w:after="40"/>
              <w:jc w:val="right"/>
            </w:pPr>
            <w:r>
              <w:rPr>
                <w:b/>
                <w:bCs/>
                <w:color w:val="9DB6EA"/>
                <w:sz w:val="18"/>
                <w:szCs w:val="18"/>
              </w:rPr>
              <w:t xml:space="preserve">Prepared For: </w:t>
            </w:r>
            <w:r>
              <w:rPr>
                <w:b/>
                <w:bCs/>
                <w:color w:val="FFD77A"/>
                <w:sz w:val="18"/>
                <w:szCs w:val="18"/>
              </w:rPr>
              <w:t xml:space="preserve">[Client Name — to confirm]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9DB6EA"/>
                <w:sz w:val="18"/>
                <w:szCs w:val="18"/>
              </w:rPr>
              <w:t xml:space="preserve">Prepared By: </w:t>
            </w:r>
            <w:r>
              <w:rPr>
                <w:b w:val="false"/>
                <w:bCs w:val="false"/>
                <w:color w:val="E7EFFE"/>
                <w:sz w:val="18"/>
                <w:szCs w:val="18"/>
              </w:rPr>
              <w:t xml:space="preserve">Growth &amp; Content Strategy Team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9DB6EA"/>
                <w:sz w:val="18"/>
                <w:szCs w:val="18"/>
              </w:rPr>
              <w:t xml:space="preserve">Target Investment: </w:t>
            </w:r>
            <w:r>
              <w:rPr>
                <w:b w:val="false"/>
                <w:bCs w:val="false"/>
                <w:color w:val="E7EFFE"/>
                <w:sz w:val="18"/>
                <w:szCs w:val="18"/>
              </w:rPr>
              <w:t xml:space="preserve">₹14,145 / month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9DB6EA"/>
                <w:sz w:val="18"/>
                <w:szCs w:val="18"/>
              </w:rPr>
              <w:t xml:space="preserve">Bandwidth Reallocated: </w:t>
            </w:r>
            <w:r>
              <w:rPr>
                <w:b w:val="false"/>
                <w:bCs w:val="false"/>
                <w:color w:val="E7EFFE"/>
                <w:sz w:val="18"/>
                <w:szCs w:val="18"/>
              </w:rPr>
              <w:t xml:space="preserve">60+ Hours / mo</w:t>
            </w:r>
          </w:p>
        </w:tc>
      </w:tr>
    </w:tbl>
    <w:p>
      <w:pPr>
        <w:spacing w:after="22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8936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B" w:color="auto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40"/>
              <w:bottom w:type="dxa" w:w="20"/>
              <w:right w:type="dxa" w:w="0"/>
            </w:tcMar>
          </w:tcPr>
          <w:p>
            <w:r>
              <w:rPr>
                <w:b/>
                <w:bCs/>
                <w:color w:val="10213F"/>
                <w:sz w:val="24"/>
                <w:szCs w:val="24"/>
              </w:rPr>
              <w:t xml:space="preserve">1. EXECUTIVE SUMMARY &amp; CORE OBJECTIVE</w:t>
            </w:r>
          </w:p>
        </w:tc>
      </w:tr>
    </w:tbl>
    <w:p>
      <w:pPr>
        <w:spacing w:after="120" w:before="0"/>
      </w:pPr>
    </w:p>
    <w:tbl>
      <w:tblPr>
        <w:tblW w:type="dxa" w:w="9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5F8FC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60"/>
            </w:pPr>
            <w:r>
              <w:rPr>
                <w:color w:val="33415A"/>
                <w:sz w:val="18"/>
                <w:szCs w:val="18"/>
              </w:rPr>
              <w:t xml:space="preserve">To position our organization as a premier media brand and authority in financial literacy, we propose shifting from </w:t>
            </w:r>
            <w:r>
              <w:rPr>
                <w:b/>
                <w:bCs/>
                <w:color w:val="33415A"/>
                <w:sz w:val="18"/>
                <w:szCs w:val="18"/>
              </w:rPr>
              <w:t xml:space="preserve">manual, fragmented social media posting</w:t>
            </w:r>
            <w:r>
              <w:rPr>
                <w:color w:val="33415A"/>
                <w:sz w:val="18"/>
                <w:szCs w:val="18"/>
              </w:rPr>
              <w:t xml:space="preserve"> to an automated </w:t>
            </w:r>
            <w:r>
              <w:rPr>
                <w:b/>
                <w:bCs/>
                <w:color w:val="33415A"/>
                <w:sz w:val="18"/>
                <w:szCs w:val="18"/>
              </w:rPr>
              <w:t xml:space="preserve">Production House Framework</w:t>
            </w:r>
            <w:r>
              <w:rPr>
                <w:color w:val="33415A"/>
                <w:sz w:val="18"/>
                <w:szCs w:val="18"/>
              </w:rPr>
              <w:t xml:space="preserve">. Currently, valuable team bandwidth is spent on repetitive administrative tasks — manual scheduling, individual direct messaging, and basic lead outreach.</w:t>
            </w:r>
          </w:p>
          <w:p>
            <w:r>
              <w:rPr>
                <w:color w:val="33415A"/>
                <w:sz w:val="18"/>
                <w:szCs w:val="18"/>
              </w:rPr>
              <w:t xml:space="preserve">By investing </w:t>
            </w:r>
            <w:r>
              <w:rPr>
                <w:b/>
                <w:bCs/>
                <w:color w:val="33415A"/>
                <w:sz w:val="18"/>
                <w:szCs w:val="18"/>
              </w:rPr>
              <w:t xml:space="preserve">₹14,145 per month</w:t>
            </w:r>
            <w:r>
              <w:rPr>
                <w:color w:val="33415A"/>
                <w:sz w:val="18"/>
                <w:szCs w:val="18"/>
              </w:rPr>
              <w:t xml:space="preserve"> in an integrated automation tech stack, we will immediately recover over </w:t>
            </w:r>
            <w:r>
              <w:rPr>
                <w:b/>
                <w:bCs/>
                <w:color w:val="33415A"/>
                <w:sz w:val="18"/>
                <w:szCs w:val="18"/>
              </w:rPr>
              <w:t xml:space="preserve">60 hours of creative bandwidth monthly</w:t>
            </w:r>
            <w:r>
              <w:rPr>
                <w:color w:val="33415A"/>
                <w:sz w:val="18"/>
                <w:szCs w:val="18"/>
              </w:rPr>
              <w:t xml:space="preserve">. This operational surplus will be directly reinvested into producing high-production, series-level original content IPs (e.g., </w:t>
            </w:r>
            <w:r>
              <w:rPr>
                <w:i/>
                <w:iCs/>
                <w:color w:val="33415A"/>
                <w:sz w:val="18"/>
                <w:szCs w:val="18"/>
              </w:rPr>
              <w:t xml:space="preserve">Fin-Z: The Indian Finance Journey</w:t>
            </w:r>
            <w:r>
              <w:rPr>
                <w:color w:val="33415A"/>
                <w:sz w:val="18"/>
                <w:szCs w:val="18"/>
              </w:rPr>
              <w:t xml:space="preserve"> and product-focused series like </w:t>
            </w:r>
            <w:r>
              <w:rPr>
                <w:i/>
                <w:iCs/>
                <w:color w:val="33415A"/>
                <w:sz w:val="18"/>
                <w:szCs w:val="18"/>
              </w:rPr>
              <w:t xml:space="preserve">MF to SIF, PMS &amp; AIF</w:t>
            </w:r>
            <w:r>
              <w:rPr>
                <w:color w:val="33415A"/>
                <w:sz w:val="18"/>
                <w:szCs w:val="18"/>
              </w:rPr>
              <w:t xml:space="preserve">), driving sustained organic engagement, institutional credibility, and high-intent lead conversion.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6"/>
        <w:gridCol w:w="2256"/>
        <w:gridCol w:w="2256"/>
        <w:gridCol w:w="2258"/>
      </w:tblGrid>
      <w:tr>
        <w:trPr>
          <w:cantSplit/>
        </w:trPr>
        <w:tc>
          <w:tcPr>
            <w:tcW w:type="dxa" w:w="225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D4ED8"/>
                <w:sz w:val="26"/>
                <w:szCs w:val="26"/>
              </w:rPr>
              <w:t xml:space="preserve">₹14,145</w:t>
            </w:r>
          </w:p>
          <w:p>
            <w:pPr>
              <w:jc w:val="center"/>
            </w:pPr>
            <w:r>
              <w:rPr>
                <w:color w:val="64748B"/>
                <w:sz w:val="14"/>
                <w:szCs w:val="14"/>
              </w:rPr>
              <w:t xml:space="preserve">MONTHLY TECH STACK</w:t>
            </w:r>
          </w:p>
        </w:tc>
        <w:tc>
          <w:tcPr>
            <w:tcW w:type="dxa" w:w="225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D4ED8"/>
                <w:sz w:val="26"/>
                <w:szCs w:val="26"/>
              </w:rPr>
              <w:t xml:space="preserve">60+ Hrs</w:t>
            </w:r>
          </w:p>
          <w:p>
            <w:pPr>
              <w:jc w:val="center"/>
            </w:pPr>
            <w:r>
              <w:rPr>
                <w:color w:val="64748B"/>
                <w:sz w:val="14"/>
                <w:szCs w:val="14"/>
              </w:rPr>
              <w:t xml:space="preserve">MONTHLY HOURS SAVED</w:t>
            </w:r>
          </w:p>
        </w:tc>
        <w:tc>
          <w:tcPr>
            <w:tcW w:type="dxa" w:w="2256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D4ED8"/>
                <w:sz w:val="26"/>
                <w:szCs w:val="26"/>
              </w:rPr>
              <w:t xml:space="preserve">3 Core IPs</w:t>
            </w:r>
          </w:p>
          <w:p>
            <w:pPr>
              <w:jc w:val="center"/>
            </w:pPr>
            <w:r>
              <w:rPr>
                <w:color w:val="64748B"/>
                <w:sz w:val="14"/>
                <w:szCs w:val="14"/>
              </w:rPr>
              <w:t xml:space="preserve">FLAGSHIP SERIES</w:t>
            </w:r>
          </w:p>
        </w:tc>
        <w:tc>
          <w:tcPr>
            <w:tcW w:type="dxa" w:w="225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D4ED8"/>
                <w:sz w:val="26"/>
                <w:szCs w:val="26"/>
              </w:rPr>
              <w:t xml:space="preserve">24/7</w:t>
            </w:r>
          </w:p>
          <w:p>
            <w:pPr>
              <w:jc w:val="center"/>
            </w:pPr>
            <w:r>
              <w:rPr>
                <w:color w:val="64748B"/>
                <w:sz w:val="14"/>
                <w:szCs w:val="14"/>
              </w:rPr>
              <w:t xml:space="preserve">AUTOMATED LEAD CAPTURE</w:t>
            </w:r>
          </w:p>
        </w:tc>
      </w:tr>
    </w:tbl>
    <w:p>
      <w:pPr>
        <w:spacing w:after="2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8936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B" w:color="auto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40"/>
              <w:bottom w:type="dxa" w:w="20"/>
              <w:right w:type="dxa" w:w="0"/>
            </w:tcMar>
          </w:tcPr>
          <w:p>
            <w:r>
              <w:rPr>
                <w:b/>
                <w:bCs/>
                <w:color w:val="10213F"/>
                <w:sz w:val="24"/>
                <w:szCs w:val="24"/>
              </w:rPr>
              <w:t xml:space="preserve">2. TECHNOLOGY STACK &amp; OPERATIONAL COST BREAKDOWN</w:t>
            </w:r>
          </w:p>
        </w:tc>
      </w:tr>
    </w:tbl>
    <w:p>
      <w:pPr>
        <w:spacing w:after="100" w:before="0"/>
      </w:pPr>
    </w:p>
    <w:p>
      <w:pPr>
        <w:spacing w:after="160"/>
      </w:pPr>
      <w:r>
        <w:rPr>
          <w:color w:val="45526B"/>
          <w:sz w:val="17"/>
          <w:szCs w:val="17"/>
        </w:rPr>
        <w:t xml:space="preserve">The proposed software stack automates repetitive publishing, comment marketing, lead capturing, and B2B LinkedIn outreach while leveraging AI for scalable video production.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60"/>
        <w:gridCol w:w="1990"/>
        <w:gridCol w:w="3430"/>
        <w:gridCol w:w="993"/>
        <w:gridCol w:w="1353"/>
      </w:tblGrid>
      <w:tr>
        <w:trPr>
          <w:cantSplit/>
          <w:tblHeader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1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Platform / Tool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1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Core Purpose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1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 Technical Benefits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1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Monthly Plan</w:t>
            </w:r>
          </w:p>
        </w:tc>
        <w:tc>
          <w:tcPr>
            <w:tcW w:type="dxa" w:w="13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1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Impact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Zoho Social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Cross-Platform Social Management (3 seats — Priya + 2 team members)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Centralized multi-channel publishing, bulk scheduling, visual content calendar, integrated analytics, team approval workflows across all 3 seats.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D4ED8"/>
                <w:sz w:val="16"/>
                <w:szCs w:val="16"/>
              </w:rPr>
              <w:t xml:space="preserve">₹1,800</w:t>
            </w:r>
          </w:p>
        </w:tc>
        <w:tc>
          <w:tcPr>
            <w:tcW w:type="dxa" w:w="135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Saves ~15 hrs manual posting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Superprofile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Comment Marketing &amp; DM Automation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Unlimited AutoDM across posts, stories &amp; lives; automated keyword-triggered DM sequences, lead magnet delivery, FAQ chat automation on IG &amp; FB.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D4ED8"/>
                <w:sz w:val="16"/>
                <w:szCs w:val="16"/>
              </w:rPr>
              <w:t xml:space="preserve">₹2,782</w:t>
            </w:r>
          </w:p>
        </w:tc>
        <w:tc>
          <w:tcPr>
            <w:tcW w:type="dxa" w:w="135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Zero response lag, instant lead capture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LinkedIn Premium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Executive Branding &amp; Search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Advanced Boolean search, InMail credits for direct decision-maker outreach, premium profile visibility, company search insights.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D4ED8"/>
                <w:sz w:val="16"/>
                <w:szCs w:val="16"/>
              </w:rPr>
              <w:t xml:space="preserve">₹4,719</w:t>
            </w:r>
          </w:p>
        </w:tc>
        <w:tc>
          <w:tcPr>
            <w:tcW w:type="dxa" w:w="135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High-value B2B network building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Meta Blue Tick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Brand Identity &amp; Protection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Official blue verification badge across Meta platforms, impersonation protection, elevated search visibility, priority direct support.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D4ED8"/>
                <w:sz w:val="16"/>
                <w:szCs w:val="16"/>
              </w:rPr>
              <w:t xml:space="preserve">₹629</w:t>
            </w:r>
          </w:p>
        </w:tc>
        <w:tc>
          <w:tcPr>
            <w:tcW w:type="dxa" w:w="135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Higher ad/organic click trust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HeyGen AI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AI Video Creation &amp; Localization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Photorealistic AI avatars, custom voice cloning, multi-language video localization, rapid script-to-video production pipeline.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D4ED8"/>
                <w:sz w:val="16"/>
                <w:szCs w:val="16"/>
              </w:rPr>
              <w:t xml:space="preserve">₹2,778</w:t>
            </w:r>
          </w:p>
        </w:tc>
        <w:tc>
          <w:tcPr>
            <w:tcW w:type="dxa" w:w="135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5x faster video output speed</w:t>
            </w:r>
          </w:p>
        </w:tc>
      </w:tr>
      <w:tr>
        <w:trPr>
          <w:cantSplit/>
        </w:trPr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MagnetIn</w:t>
            </w:r>
          </w:p>
        </w:tc>
        <w:tc>
          <w:tcPr>
            <w:tcW w:type="dxa" w:w="199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LinkedIn Growth &amp; Lead Automation</w:t>
            </w:r>
          </w:p>
        </w:tc>
        <w:tc>
          <w:tcPr>
            <w:tcW w:type="dxa" w:w="3430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Automated targeted connection requests, multi-step personalized follow-up sequences, automated profile visiting &amp; lead nurturing.</w:t>
            </w:r>
          </w:p>
        </w:tc>
        <w:tc>
          <w:tcPr>
            <w:tcW w:type="dxa" w:w="99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D4ED8"/>
                <w:sz w:val="16"/>
                <w:szCs w:val="16"/>
              </w:rPr>
              <w:t xml:space="preserve">₹1,437</w:t>
            </w:r>
          </w:p>
        </w:tc>
        <w:tc>
          <w:tcPr>
            <w:tcW w:type="dxa" w:w="1353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Continuous B2B pipeline growth</w:t>
            </w:r>
          </w:p>
        </w:tc>
      </w:tr>
      <w:tr>
        <w:trPr>
          <w:cantSplit/>
        </w:trPr>
        <w:tc>
          <w:tcPr>
            <w:tcW w:type="dxa" w:w="6680"/>
            <w:gridSpan w:val="3"/>
            <w:tcBorders>
              <w:top w:val="single" w:color="2F6FEB" w:sz="16"/>
              <w:left w:val="none" w:color="FFFFFF" w:sz="0"/>
              <w:bottom w:val="none" w:color="FFFFFF" w:sz="0"/>
              <w:right w:val="none" w:color="FFFFFF" w:sz="0"/>
            </w:tcBorders>
            <w:shd w:fill="DBE9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TOTAL MONTHLY OPERATIONAL INVESTMENT</w:t>
            </w:r>
          </w:p>
        </w:tc>
        <w:tc>
          <w:tcPr>
            <w:tcW w:type="dxa" w:w="993"/>
            <w:tcBorders>
              <w:top w:val="single" w:color="2F6FEB" w:sz="16"/>
              <w:left w:val="none" w:color="FFFFFF" w:sz="0"/>
              <w:bottom w:val="none" w:color="FFFFFF" w:sz="0"/>
              <w:right w:val="none" w:color="FFFFFF" w:sz="0"/>
            </w:tcBorders>
            <w:shd w:fill="DBE9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b/>
                <w:bCs/>
                <w:color w:val="1D4ED8"/>
                <w:sz w:val="16"/>
                <w:szCs w:val="16"/>
              </w:rPr>
              <w:t xml:space="preserve">₹14,145</w:t>
            </w:r>
          </w:p>
        </w:tc>
        <w:tc>
          <w:tcPr>
            <w:tcW w:type="dxa" w:w="1353"/>
            <w:tcBorders>
              <w:top w:val="single" w:color="2F6FEB" w:sz="16"/>
              <w:left w:val="none" w:color="FFFFFF" w:sz="0"/>
              <w:bottom w:val="none" w:color="FFFFFF" w:sz="0"/>
              <w:right w:val="none" w:color="FFFFFF" w:sz="0"/>
            </w:tcBorders>
            <w:shd w:fill="DBE9FD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60+ Hrs Reclaimed</w:t>
            </w:r>
          </w:p>
        </w:tc>
      </w:tr>
    </w:tbl>
    <w:p>
      <w:pPr>
        <w:spacing w:after="160" w:before="0"/>
      </w:pPr>
    </w:p>
    <w:tbl>
      <w:tblPr>
        <w:tblW w:type="dxa" w:w="9026"/>
        <w:tblBorders>
          <w:top w:val="single" w:color="F3D48A" w:sz="4"/>
          <w:left w:val="single" w:color="F3D48A" w:sz="4"/>
          <w:bottom w:val="single" w:color="F3D48A" w:sz="4"/>
          <w:right w:val="single" w:color="F3D48A" w:sz="4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FF4D6" w:color="auto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color w:val="8A5A00"/>
                <w:sz w:val="16"/>
                <w:szCs w:val="16"/>
              </w:rPr>
              <w:t xml:space="preserve">⚠ Not included in this version, pending further scoping: video editing/repurposing tool (ChatCut / Submagic / Eddie AI — under a 1-month trial), a second Meritto/CMS license, and a general internal-automation/workflow tool. These stay off the client-facing total until use cases and vendor are locked.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8936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B" w:color="auto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40"/>
              <w:bottom w:type="dxa" w:w="20"/>
              <w:right w:type="dxa" w:w="0"/>
            </w:tcMar>
          </w:tcPr>
          <w:p>
            <w:r>
              <w:rPr>
                <w:b/>
                <w:bCs/>
                <w:color w:val="10213F"/>
                <w:sz w:val="24"/>
                <w:szCs w:val="24"/>
              </w:rPr>
              <w:t xml:space="preserve">3. CONTENT BLUEPRINT &amp; FLAGSHIP SERIES IPS</w:t>
            </w:r>
          </w:p>
        </w:tc>
      </w:tr>
    </w:tbl>
    <w:p>
      <w:pPr>
        <w:spacing w:after="100" w:before="0"/>
      </w:pPr>
    </w:p>
    <w:p>
      <w:pPr>
        <w:spacing w:after="200"/>
      </w:pPr>
      <w:r>
        <w:rPr>
          <w:color w:val="45526B"/>
          <w:sz w:val="17"/>
          <w:szCs w:val="17"/>
        </w:rPr>
        <w:t xml:space="preserve">With basic publishing automated, creative capacity will be directed into three tier-one content series designed to capture both broad audiences and specialized financial advisory/HNI networks.</w:t>
      </w:r>
    </w:p>
    <w:p>
      <w:pPr>
        <w:spacing w:after="60"/>
      </w:pPr>
      <w:r>
        <w:rPr>
          <w:b/>
          <w:bCs/>
          <w:color w:val="1D4ED8"/>
          <w:sz w:val="20"/>
          <w:szCs w:val="20"/>
        </w:rPr>
        <w:t xml:space="preserve">Flagship IP 1: Fin-Z — The Complete Indian Finance Journey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D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D4ED8"/>
                <w:sz w:val="14"/>
                <w:szCs w:val="14"/>
              </w:rPr>
              <w:t xml:space="preserve">Netflix / MasterClass Style</w:t>
            </w:r>
          </w:p>
        </w:tc>
      </w:tr>
    </w:tbl>
    <w:p>
      <w:pPr>
        <w:spacing w:after="120" w:before="0"/>
      </w:pPr>
    </w:p>
    <w:p>
      <w:pPr>
        <w:spacing w:after="180"/>
      </w:pPr>
      <w:r>
        <w:rPr>
          <w:b/>
          <w:bCs/>
          <w:color w:val="10213F"/>
          <w:sz w:val="17"/>
          <w:szCs w:val="17"/>
        </w:rPr>
        <w:t xml:space="preserve">Brand Positioning: </w:t>
      </w:r>
      <w:r>
        <w:rPr>
          <w:color w:val="33415A"/>
          <w:sz w:val="17"/>
          <w:szCs w:val="17"/>
        </w:rPr>
        <w:t xml:space="preserve">"Fin-Z: India's Financial Journey. From Independence to Intelligence." A comprehensive, multi-season historical and educational documentary series covering the macroeconomic evolution of India.</w:t>
      </w:r>
    </w:p>
    <w:tbl>
      <w:tblPr>
        <w:tblW w:type="dxa" w:w="9026"/>
        <w:tblBorders>
          <w:top w:val="single" w:color="2F6FEB" w:sz="16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5F8F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213F"/>
                <w:sz w:val="17"/>
                <w:szCs w:val="17"/>
              </w:rPr>
              <w:t xml:space="preserve">Season 1: The Foundation (1947–1969)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India's post-Independence agrarian economy &amp; nation-building challenges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Establishment and emerging central role of the Reserve Bank of India (RBI)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The era of Five-Year Plans, License Raj, and bank nationalization in 1969</w:t>
            </w:r>
          </w:p>
        </w:tc>
      </w:tr>
    </w:tbl>
    <w:p>
      <w:pPr>
        <w:spacing w:after="140" w:before="0"/>
      </w:pPr>
    </w:p>
    <w:tbl>
      <w:tblPr>
        <w:tblW w:type="dxa" w:w="9026"/>
        <w:tblBorders>
          <w:top w:val="single" w:color="2F6FEB" w:sz="16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5F8F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213F"/>
                <w:sz w:val="17"/>
                <w:szCs w:val="17"/>
              </w:rPr>
              <w:t xml:space="preserve">Season 2: Building the Infrastructure (1970–1990)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Managing hyper-inflationary pressures and balance-of-payments crises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The rise of Public Sector Undertakings (PSUs) and expansion of early capital markets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The physical trading ring: How stock exchanges operated pre-digitalization</w:t>
            </w:r>
          </w:p>
        </w:tc>
      </w:tr>
    </w:tbl>
    <w:p>
      <w:pPr>
        <w:spacing w:after="140" w:before="0"/>
      </w:pPr>
    </w:p>
    <w:tbl>
      <w:tblPr>
        <w:tblW w:type="dxa" w:w="9026"/>
        <w:tblBorders>
          <w:top w:val="single" w:color="2F6FEB" w:sz="16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5F8F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213F"/>
                <w:sz w:val="17"/>
                <w:szCs w:val="17"/>
              </w:rPr>
              <w:t xml:space="preserve">Season 3: The Turning Point &amp; Market Modernization (1991–2008)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1991 Economic Liberalization (LPG reforms) under Dr. Manmohan Singh &amp; PV Narasimha Rao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Establishment of SEBI as a full statutory regulator and launch of NSE/demat trading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The birth and explosive rise of the Indian Mutual Fund industry &amp; retail participation</w:t>
            </w:r>
          </w:p>
        </w:tc>
      </w:tr>
    </w:tbl>
    <w:p>
      <w:pPr>
        <w:spacing w:after="140" w:before="0"/>
      </w:pPr>
    </w:p>
    <w:tbl>
      <w:tblPr>
        <w:tblW w:type="dxa" w:w="9026"/>
        <w:tblBorders>
          <w:top w:val="single" w:color="2F6FEB" w:sz="16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5F8F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213F"/>
                <w:sz w:val="17"/>
                <w:szCs w:val="17"/>
              </w:rPr>
              <w:t xml:space="preserve">Season 4: The Digital &amp; FinTech Revolution (2009–2020)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The India Stack architecture: Aadhaar, Jan Dhan accounts, and mobile penetration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How UPI revolutionized global digital payments and crushed cash dependency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The startup boom and democratization of discount brokering</w:t>
            </w:r>
          </w:p>
        </w:tc>
      </w:tr>
    </w:tbl>
    <w:p>
      <w:pPr>
        <w:spacing w:after="140" w:before="0"/>
      </w:pPr>
    </w:p>
    <w:tbl>
      <w:tblPr>
        <w:tblW w:type="dxa" w:w="9026"/>
        <w:tblBorders>
          <w:top w:val="single" w:color="2F6FEB" w:sz="16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5F8F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0213F"/>
                <w:sz w:val="17"/>
                <w:szCs w:val="17"/>
              </w:rPr>
              <w:t xml:space="preserve">Season 5: The Wealth Creation Era (2020–Present &amp; Beyond)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Shift from simple saving to sophisticated investing: Mutual Funds, SIF, PMS, AIF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Taxation evolution (GST, Income Tax regime shift) and digital asset regulation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color w:val="45526B"/>
                <w:sz w:val="16"/>
                <w:szCs w:val="16"/>
              </w:rPr>
              <w:t xml:space="preserve">AI in wealth management, algorithmic trading, and India's path to a $10T economy</w:t>
            </w:r>
          </w:p>
        </w:tc>
      </w:tr>
    </w:tbl>
    <w:p>
      <w:pPr>
        <w:pBdr>
          <w:bottom w:val="single" w:color="E2E8F0" w:sz="4"/>
        </w:pBdr>
        <w:spacing w:after="220" w:before="220"/>
      </w:pPr>
    </w:p>
    <w:p>
      <w:pPr>
        <w:spacing w:after="60"/>
      </w:pPr>
      <w:r>
        <w:rPr>
          <w:b/>
          <w:bCs/>
          <w:color w:val="1D4ED8"/>
          <w:sz w:val="20"/>
          <w:szCs w:val="20"/>
        </w:rPr>
        <w:t xml:space="preserve">Flagship IP 2: Product Breakdown — "Mutual Fund se SIF, PMS, AIF Tak"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D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D4ED8"/>
                <w:sz w:val="14"/>
                <w:szCs w:val="14"/>
              </w:rPr>
              <w:t xml:space="preserve">High-Intent HNI Lead Gen</w:t>
            </w:r>
          </w:p>
        </w:tc>
      </w:tr>
    </w:tbl>
    <w:p>
      <w:pPr>
        <w:spacing w:after="120" w:before="0"/>
      </w:pPr>
    </w:p>
    <w:p>
      <w:pPr>
        <w:spacing w:after="180"/>
      </w:pPr>
      <w:r>
        <w:rPr>
          <w:b/>
          <w:bCs/>
          <w:color w:val="10213F"/>
          <w:sz w:val="17"/>
          <w:szCs w:val="17"/>
        </w:rPr>
        <w:t xml:space="preserve">Target Audience: </w:t>
      </w:r>
      <w:r>
        <w:rPr>
          <w:color w:val="33415A"/>
          <w:sz w:val="17"/>
          <w:szCs w:val="17"/>
        </w:rPr>
        <w:t xml:space="preserve">High-Net-Worth Individuals (HNIs), affluent retail investors, and financial advisors seeking structured product knowledge.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7"/>
        <w:gridCol w:w="4874"/>
        <w:gridCol w:w="1805"/>
      </w:tblGrid>
      <w:tr>
        <w:trPr>
          <w:cantSplit/>
          <w:tblHeader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1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Video / Episode Topic</w:t>
            </w:r>
          </w:p>
        </w:tc>
        <w:tc>
          <w:tcPr>
            <w:tcW w:type="dxa" w:w="48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1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Core Narrative &amp; Educational Value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213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Target Viewer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1. Mutual Fund ke baad kya?</w:t>
            </w:r>
          </w:p>
        </w:tc>
        <w:tc>
          <w:tcPr>
            <w:tcW w:type="dxa" w:w="4874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Exploring the progression from standard SIPs to structured investment products.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Growing Investors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2. SIF kya hai aur MF se alag kaise hai?</w:t>
            </w:r>
          </w:p>
        </w:tc>
        <w:tc>
          <w:tcPr>
            <w:tcW w:type="dxa" w:w="4874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Deep dive into Specialized Investment Funds: Risk profiles, mandates, and strategies.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Affluent Investors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3. PMS kya hota hai (Portfolio Management Services)</w:t>
            </w:r>
          </w:p>
        </w:tc>
        <w:tc>
          <w:tcPr>
            <w:tcW w:type="dxa" w:w="4874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Demystifying customized stock portfolios, ticket sizes (₹50L+), and direct ownership benefits.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HNIs &amp; Corporate Professionals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4. AIF kya hota hai (Alternative Investment Funds)</w:t>
            </w:r>
          </w:p>
        </w:tc>
        <w:tc>
          <w:tcPr>
            <w:tcW w:type="dxa" w:w="4874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Understanding Category I, II &amp; III AIFs: Venture capital, private equity, long-short funds.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Ultra HNIs &amp; Family Offices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5. PMS vs AIF vs SIF Comparison</w:t>
            </w:r>
          </w:p>
        </w:tc>
        <w:tc>
          <w:tcPr>
            <w:tcW w:type="dxa" w:w="4874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A comprehensive side-by-side breakdown of liquidity, regulation, minimum entry, and taxation.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Active Wealth Clients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6. Kaunse investor ko kaunsa product suit karta hai?</w:t>
            </w:r>
          </w:p>
        </w:tc>
        <w:tc>
          <w:tcPr>
            <w:tcW w:type="dxa" w:w="4874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Risk profiling framework to map capital allocation across various financial vehicles.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Investors &amp; Advisors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7. PMS: Status symbol hai ya serious product?</w:t>
            </w:r>
          </w:p>
        </w:tc>
        <w:tc>
          <w:tcPr>
            <w:tcW w:type="dxa" w:w="4874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Unbiased evaluation of PMS fee structures, fund manager track records, and real alpha generation.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HNI Decision Makers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8. AIF mein risk kyun zyada hota hai</w:t>
            </w:r>
          </w:p>
        </w:tc>
        <w:tc>
          <w:tcPr>
            <w:tcW w:type="dxa" w:w="4874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Risk disclosure: Lock-in periods, illiquidity, leverage, and drawdown potential.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shd w:fill="FAFBFE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Sophisticated Capitalists</w:t>
            </w:r>
          </w:p>
        </w:tc>
      </w:tr>
      <w:tr>
        <w:trPr>
          <w:cantSplit/>
        </w:trPr>
        <w:tc>
          <w:tcPr>
            <w:tcW w:type="dxa" w:w="2347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0213F"/>
                <w:sz w:val="16"/>
                <w:szCs w:val="16"/>
              </w:rPr>
              <w:t xml:space="preserve">9. Advisor ko SIF, PMS, AIF kyun samajhna chahiye?</w:t>
            </w:r>
          </w:p>
        </w:tc>
        <w:tc>
          <w:tcPr>
            <w:tcW w:type="dxa" w:w="4874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Empowering wealth managers and IFAs to upscale client advisory and increase AUM.</w:t>
            </w:r>
          </w:p>
        </w:tc>
        <w:tc>
          <w:tcPr>
            <w:tcW w:type="dxa" w:w="1805"/>
            <w:tcBorders>
              <w:top w:val="none" w:color="FFFFFF" w:sz="0"/>
              <w:left w:val="none" w:color="FFFFFF" w:sz="0"/>
              <w:bottom w:val="single" w:color="E2E8F0" w:sz="3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color w:val="33415A"/>
                <w:sz w:val="16"/>
                <w:szCs w:val="16"/>
              </w:rPr>
              <w:t xml:space="preserve">Financial Advisors / IFAs</w:t>
            </w:r>
          </w:p>
        </w:tc>
      </w:tr>
    </w:tbl>
    <w:p>
      <w:pPr>
        <w:pBdr>
          <w:bottom w:val="single" w:color="E2E8F0" w:sz="4"/>
        </w:pBdr>
        <w:spacing w:after="220" w:before="220"/>
      </w:pPr>
    </w:p>
    <w:p>
      <w:pPr>
        <w:spacing w:after="60"/>
      </w:pPr>
      <w:r>
        <w:rPr>
          <w:b/>
          <w:bCs/>
          <w:color w:val="1D4ED8"/>
          <w:sz w:val="20"/>
          <w:szCs w:val="20"/>
        </w:rPr>
        <w:t xml:space="preserve">Flagship IP 3: Finance with AAFM / The AAFM Perspective</w:t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9FD" w:color="auto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D4ED8"/>
                <w:sz w:val="14"/>
                <w:szCs w:val="14"/>
              </w:rPr>
              <w:t xml:space="preserve">Institutional Thought Leadership</w:t>
            </w:r>
          </w:p>
        </w:tc>
      </w:tr>
    </w:tbl>
    <w:p>
      <w:pPr>
        <w:spacing w:after="120" w:before="0"/>
      </w:pPr>
    </w:p>
    <w:p>
      <w:pPr>
        <w:spacing w:after="140"/>
      </w:pPr>
      <w:r>
        <w:rPr>
          <w:b/>
          <w:bCs/>
          <w:color w:val="10213F"/>
          <w:sz w:val="17"/>
          <w:szCs w:val="17"/>
        </w:rPr>
        <w:t xml:space="preserve">Core Concept: </w:t>
      </w:r>
      <w:r>
        <w:rPr>
          <w:color w:val="33415A"/>
          <w:sz w:val="17"/>
          <w:szCs w:val="17"/>
        </w:rPr>
        <w:t xml:space="preserve">Institutional-grade series spotlighting international wealth management standards, global financial certifications, regulatory ethics, and financial planning frameworks.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213F"/>
          <w:sz w:val="17"/>
          <w:szCs w:val="17"/>
        </w:rPr>
        <w:t xml:space="preserve">Global Wealth Benchmarks: </w:t>
      </w:r>
      <w:r>
        <w:rPr>
          <w:color w:val="33415A"/>
          <w:sz w:val="17"/>
          <w:szCs w:val="17"/>
        </w:rPr>
        <w:t xml:space="preserve">How international advisory practices are reshaping wealth management in India.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0213F"/>
          <w:sz w:val="17"/>
          <w:szCs w:val="17"/>
        </w:rPr>
        <w:t xml:space="preserve">Mastering Estate &amp; Private Wealth Planning: </w:t>
      </w:r>
      <w:r>
        <w:rPr>
          <w:color w:val="33415A"/>
          <w:sz w:val="17"/>
          <w:szCs w:val="17"/>
        </w:rPr>
        <w:t xml:space="preserve">Tactical guides on succession planning, family trusts, and wealth preservation.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10213F"/>
          <w:sz w:val="17"/>
          <w:szCs w:val="17"/>
        </w:rPr>
        <w:t xml:space="preserve">Practitioner Interviews: </w:t>
      </w:r>
      <w:r>
        <w:rPr>
          <w:color w:val="33415A"/>
          <w:sz w:val="17"/>
          <w:szCs w:val="17"/>
        </w:rPr>
        <w:t xml:space="preserve">Roundtables with certified wealth managers, market strategists, and industry veterans.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8936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B" w:color="auto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40"/>
              <w:bottom w:type="dxa" w:w="20"/>
              <w:right w:type="dxa" w:w="0"/>
            </w:tcMar>
          </w:tcPr>
          <w:p>
            <w:r>
              <w:rPr>
                <w:b/>
                <w:bCs/>
                <w:color w:val="10213F"/>
                <w:sz w:val="24"/>
                <w:szCs w:val="24"/>
              </w:rPr>
              <w:t xml:space="preserve">4. IMPLEMENTATION ROADMAP &amp; EXECUTION PHASING</w:t>
            </w:r>
          </w:p>
        </w:tc>
      </w:tr>
    </w:tbl>
    <w:p>
      <w:pPr>
        <w:spacing w:after="14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56"/>
        <w:gridCol w:w="2256"/>
        <w:gridCol w:w="2256"/>
        <w:gridCol w:w="2258"/>
      </w:tblGrid>
      <w:tr>
        <w:trPr>
          <w:cantSplit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10213F"/>
                <w:sz w:val="19"/>
                <w:szCs w:val="19"/>
              </w:rPr>
              <w:t xml:space="preserve">Phase 1: Tool Onboarding</w:t>
            </w:r>
          </w:p>
          <w:p>
            <w:pPr>
              <w:spacing w:after="80"/>
            </w:pPr>
            <w:r>
              <w:rPr>
                <w:i/>
                <w:iCs/>
                <w:color w:val="64748B"/>
                <w:sz w:val="15"/>
                <w:szCs w:val="15"/>
              </w:rPr>
              <w:t xml:space="preserve">Weeks 1 –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Tool setup &amp; subscriptions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Zoho &amp; Superprofile 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MagnetIn targeting setup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10213F"/>
                <w:sz w:val="19"/>
                <w:szCs w:val="19"/>
              </w:rPr>
              <w:t xml:space="preserve">Phase 2: Pre-Production</w:t>
            </w:r>
          </w:p>
          <w:p>
            <w:pPr>
              <w:spacing w:after="80"/>
            </w:pPr>
            <w:r>
              <w:rPr>
                <w:i/>
                <w:iCs/>
                <w:color w:val="64748B"/>
                <w:sz w:val="15"/>
                <w:szCs w:val="15"/>
              </w:rPr>
              <w:t xml:space="preserve">Weeks 3 –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Scripting Fin-Z S1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HeyGen AI avatar cloning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Visual brand kit creation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10213F"/>
                <w:sz w:val="19"/>
                <w:szCs w:val="19"/>
              </w:rPr>
              <w:t xml:space="preserve">Phase 3: Rollout &amp; Launch</w:t>
            </w:r>
          </w:p>
          <w:p>
            <w:pPr>
              <w:spacing w:after="80"/>
            </w:pPr>
            <w:r>
              <w:rPr>
                <w:i/>
                <w:iCs/>
                <w:color w:val="64748B"/>
                <w:sz w:val="15"/>
                <w:szCs w:val="15"/>
              </w:rPr>
              <w:t xml:space="preserve">Month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Launch Fin-Z S1 Episode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Activate Superprofile triggers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Launch SIF/PMS video series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C" w:color="auto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20"/>
            </w:pPr>
            <w:r>
              <w:rPr>
                <w:b/>
                <w:bCs/>
                <w:color w:val="10213F"/>
                <w:sz w:val="19"/>
                <w:szCs w:val="19"/>
              </w:rPr>
              <w:t xml:space="preserve">Phase 4: Scale &amp; Convert</w:t>
            </w:r>
          </w:p>
          <w:p>
            <w:pPr>
              <w:spacing w:after="80"/>
            </w:pPr>
            <w:r>
              <w:rPr>
                <w:i/>
                <w:iCs/>
                <w:color w:val="64748B"/>
                <w:sz w:val="15"/>
                <w:szCs w:val="15"/>
              </w:rPr>
              <w:t xml:space="preserve">Month 3 Onward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Review analytics &amp; conversions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Scale LinkedIn B2B outreach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color w:val="33415A"/>
                <w:sz w:val="17"/>
                <w:szCs w:val="17"/>
              </w:rPr>
              <w:t xml:space="preserve">Begin Fin-Z S2 production</w:t>
            </w:r>
          </w:p>
        </w:tc>
      </w:tr>
    </w:tbl>
    <w:p>
      <w:pPr>
        <w:spacing w:after="2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8936"/>
      </w:tblGrid>
      <w:tr>
        <w:tc>
          <w:tcPr>
            <w:tcW w:type="dxa" w:w="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EB" w:color="auto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89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40"/>
              <w:bottom w:type="dxa" w:w="20"/>
              <w:right w:type="dxa" w:w="0"/>
            </w:tcMar>
          </w:tcPr>
          <w:p>
            <w:r>
              <w:rPr>
                <w:b/>
                <w:bCs/>
                <w:color w:val="10213F"/>
                <w:sz w:val="24"/>
                <w:szCs w:val="24"/>
              </w:rPr>
              <w:t xml:space="preserve">5. EXPECTED ROI &amp; RECOMMENDATION</w:t>
            </w:r>
          </w:p>
        </w:tc>
      </w:tr>
    </w:tbl>
    <w:p>
      <w:pPr>
        <w:spacing w:after="140" w:before="0"/>
      </w:pPr>
    </w:p>
    <w:tbl>
      <w:tblPr>
        <w:tblW w:type="dxa" w:w="9026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none" w:color="FFFFFF" w:sz="0"/>
          <w:insideV w:val="none" w:color="FFFFFF" w:sz="0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shd w:fill="FFFFFF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40"/>
            </w:pPr>
            <w:r>
              <w:rPr>
                <w:b/>
                <w:bCs/>
                <w:color w:val="10213F"/>
                <w:sz w:val="18"/>
                <w:szCs w:val="18"/>
              </w:rPr>
              <w:t xml:space="preserve">Return on Investment (ROI) Framework: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rPr>
                <w:b/>
                <w:bCs/>
                <w:color w:val="10213F"/>
                <w:sz w:val="18"/>
                <w:szCs w:val="18"/>
              </w:rPr>
              <w:t xml:space="preserve">Operational Savings: </w:t>
            </w:r>
            <w:r>
              <w:rPr>
                <w:color w:val="33415A"/>
                <w:sz w:val="18"/>
                <w:szCs w:val="18"/>
              </w:rPr>
              <w:t xml:space="preserve">Reclaiming 60+ team hours per month at an investment of ₹14,145 represents an immediate positive ROI on staff productivity.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rPr>
                <w:b/>
                <w:bCs/>
                <w:color w:val="10213F"/>
                <w:sz w:val="18"/>
                <w:szCs w:val="18"/>
              </w:rPr>
              <w:t xml:space="preserve">Automated Lead Engine: </w:t>
            </w:r>
            <w:r>
              <w:rPr>
                <w:color w:val="33415A"/>
                <w:sz w:val="18"/>
                <w:szCs w:val="18"/>
              </w:rPr>
              <w:t xml:space="preserve">Superprofile + MagnetIn will automatically nurture comments and LinkedIn profile views into qualified leads, eliminating lead leakage.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0"/>
            </w:pPr>
            <w:r>
              <w:rPr>
                <w:b/>
                <w:bCs/>
                <w:color w:val="10213F"/>
                <w:sz w:val="18"/>
                <w:szCs w:val="18"/>
              </w:rPr>
              <w:t xml:space="preserve">Brand Equity &amp; Audience Retention: </w:t>
            </w:r>
            <w:r>
              <w:rPr>
                <w:color w:val="33415A"/>
                <w:sz w:val="18"/>
                <w:szCs w:val="18"/>
              </w:rPr>
              <w:t xml:space="preserve">Premium series content (Fin-Z) builds compounding organic domain authority, positioning our brand above traditional short-form noise.</w:t>
            </w:r>
          </w:p>
          <w:p>
            <w:pPr>
              <w:pBdr>
                <w:top w:val="single" w:color="E2E8F0" w:sz="4"/>
              </w:pBdr>
              <w:spacing w:before="100"/>
            </w:pPr>
            <w:r>
              <w:rPr>
                <w:b/>
                <w:bCs/>
                <w:color w:val="10213F"/>
                <w:sz w:val="19"/>
                <w:szCs w:val="19"/>
              </w:rPr>
              <w:t xml:space="preserve">Recommendation: </w:t>
            </w:r>
            <w:r>
              <w:rPr>
                <w:color w:val="1A2333"/>
                <w:sz w:val="19"/>
                <w:szCs w:val="19"/>
              </w:rPr>
              <w:t xml:space="preserve">Approve the monthly software expenditure of ₹14,145 to immediately commence Phase 1 implementation.</w:t>
            </w:r>
          </w:p>
        </w:tc>
      </w:tr>
    </w:tbl>
    <w:p>
      <w:pPr>
        <w:spacing w:after="260" w:before="0"/>
      </w:pPr>
    </w:p>
    <w:p>
      <w:pPr>
        <w:pBdr>
          <w:top w:val="dashed" w:color="E2E8F0" w:sz="4"/>
        </w:pBdr>
        <w:spacing w:after="160" w:before="100"/>
      </w:pPr>
      <w:r>
        <w:rPr>
          <w:i/>
          <w:iCs/>
          <w:color w:val="64748B"/>
          <w:sz w:val="14"/>
          <w:szCs w:val="14"/>
        </w:rPr>
        <w:t xml:space="preserve">Rev. 2 (15 Sep 2026) — updated from the original ₹11,792/mo version per mentor feedback: Zoho Social upgraded to a 3-seat plan (₹1,800); ManyChat replaced with Superprofile for DM automation (₹2,782, Creator plan); ChatCut/Submagic/Eddie AI, a second Meritto/CMS license, and a general internal-automation tool were evaluated and intentionally left out of this version pending further scoping.</w:t>
      </w:r>
    </w:p>
    <w:p>
      <w:pPr>
        <w:jc w:val="center"/>
      </w:pPr>
      <w:r>
        <w:rPr>
          <w:color w:val="64748B"/>
          <w:sz w:val="15"/>
          <w:szCs w:val="15"/>
        </w:rPr>
        <w:t xml:space="preserve">Proposal Document — Generated for Client Review — All rights reserved.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2026-09-15T21:37:05.111Z</dcterms:created>
  <dcterms:modified xsi:type="dcterms:W3CDTF">2026-09-15T21:37:05.111Z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