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VPro Skills EduTech: Training Policy</w:t>
      </w:r>
    </w:p>
    <w:p>
      <w:pPr>
        <w:pStyle w:val="Heading1"/>
      </w:pPr>
      <w:r>
        <w:t>Attendance</w:t>
      </w:r>
    </w:p>
    <w:p>
      <w:r>
        <w:t>Learners must attend at least 80% of live sessions to be eligible for the course certificate. Recorded sessions are available for 6 months after the batch ends.</w:t>
      </w:r>
    </w:p>
    <w:p>
      <w:pPr>
        <w:pStyle w:val="Heading1"/>
      </w:pPr>
      <w:r>
        <w:t>Project assessment</w:t>
      </w:r>
    </w:p>
    <w:p>
      <w:r>
        <w:t>Every course ends with a capstone project. Projects are assessed by a mentor on functionality (40%), code quality (30%), documentation (15%) and the final presentation (15%). A minimum score of 60% is required to pass. Learners who do not pass may resubmit once within 30 days.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Functionality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Code quality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Presentation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</w:tbl>
    <w:p>
      <w:pPr>
        <w:pStyle w:val="Heading1"/>
      </w:pPr>
      <w:r>
        <w:t>Refund policy</w:t>
      </w:r>
    </w:p>
    <w:p>
      <w:r>
        <w:t>A full refund is available within 7 days of the batch start date. After 7 days, fees are not refundable, but learners may transfer to a later batch once.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