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Cambria" w:hAnsi="Cambria" w:eastAsia="Cambria" w:cs="Cambria"/>
          <w:sz w:val="30"/>
          <w:szCs w:val="30"/>
          <w:b w:val="1"/>
          <w:bCs w:val="1"/>
          <w:u w:val="single"/>
        </w:rPr>
        <w:t xml:space="preserve">Sweet Crystals Integrated Sugar Mill Corp. - San Fernando</w:t>
      </w:r>
      <w:r>
        <w:rPr>
          <w:rFonts w:ascii="Cambria" w:hAnsi="Cambria" w:eastAsia="Cambria" w:cs="Cambria"/>
          <w:sz w:val="24"/>
          <w:szCs w:val="24"/>
        </w:rPr>
        <w:t xml:space="preserve"> of 5/F National Life Insurance Bldg., 6762 Ayala Ave.,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refinery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1st day of July 2020.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                                                                                          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                                                                                                           Administrator</w:t>
      </w:r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REFINERY LICENSE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4"/>
          <w:szCs w:val="24"/>
          <w:b w:val="1"/>
          <w:bCs w:val="1"/>
          <w:u w:val="single"/>
        </w:rPr>
        <w:t xml:space="preserve">222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2020-07-01T10:48:50+08:00</dcterms:created>
  <dcterms:modified xsi:type="dcterms:W3CDTF">2020-07-01T10:48:50+08:00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