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Cambria" w:hAnsi="Cambria" w:eastAsia="Cambria" w:cs="Cambria"/>
          <w:sz w:val="30"/>
          <w:szCs w:val="30"/>
          <w:b w:val="1"/>
          <w:bCs w:val="1"/>
          <w:u w:val="single"/>
        </w:rPr>
        <w:t xml:space="preserve">Biscom Incorporated</w:t>
      </w:r>
      <w:r>
        <w:rPr>
          <w:rFonts w:ascii="Cambria" w:hAnsi="Cambria" w:eastAsia="Cambria" w:cs="Cambria"/>
          <w:sz w:val="24"/>
          <w:szCs w:val="24"/>
        </w:rPr>
        <w:t xml:space="preserve"> of Unit 604, Legaspi Towers 200 Condominium, 107 Paseo de Roxas, Legaspi Vill.,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7th day of July 2020.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                                                                                          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                                                                                                           Administrator</w:t>
      </w:r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4"/>
          <w:szCs w:val="24"/>
          <w:b w:val="1"/>
          <w:bCs w:val="1"/>
          <w:u w:val="single"/>
        </w:rPr>
        <w:t xml:space="preserve">1001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2020-07-07T09:14:45+08:00</dcterms:created>
  <dcterms:modified xsi:type="dcterms:W3CDTF">2020-07-07T09:14:45+08:00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