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ИЕРАРХИЧЕСКАЯ КЛАССИФИКАЦИЯ ПОЛЬЗОВАТЕЛЬСКИХ ОБЪЯВЛЕНИЙ НА ОСНОВЕ ИЗОБРАЖЕНИЙ ТОВАРОВ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Кассым Владислав Фарманович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Московский физико-технический институт (МФТИ)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В докладе описывается решение задачи иерархической классификации</w:t>
        <w:br w:type="textWrapping"/>
        <w:t xml:space="preserve">пользовательских объявлений на основе содержащихся в них изображений</w:t>
        <w:br w:type="textWrapping"/>
        <w:t xml:space="preserve">товаров. Данная работа была проведена в рамках участия в соревновании,</w:t>
        <w:br w:type="textWrapping"/>
        <w:t xml:space="preserve">организованном ООО «КЕХ еКоммерц» (avito.ru). Avito — интернет-сайт для</w:t>
        <w:br w:type="textWrapping"/>
        <w:t xml:space="preserve">размещения платных и бесплатных объявлений о товарах и услугах от</w:t>
        <w:br w:type="textWrapping"/>
        <w:t xml:space="preserve">частных лиц и компаний. При создании нового объявления пользователю</w:t>
        <w:br w:type="textWrapping"/>
        <w:t xml:space="preserve">необходимо указать категорию, к которой оно относится. Цель алгоритма –</w:t>
        <w:br w:type="textWrapping"/>
        <w:t xml:space="preserve">автоматизация определения категории объявления.</w:t>
        <w:br w:type="textWrapping"/>
        <w:t xml:space="preserve">При построении алгоритма иерархической классификации данных можно</w:t>
        <w:br w:type="textWrapping"/>
        <w:t xml:space="preserve">выделить две подзадачи: поиск классификатора и метода учета иерархии. В</w:t>
        <w:br w:type="textWrapping"/>
        <w:t xml:space="preserve">качестве классификатора в данной работе были исследованы архитектуры</w:t>
        <w:br w:type="textWrapping"/>
        <w:t xml:space="preserve">глубоких сверточных нейронных сетей, показавшие наилучшие результаты в</w:t>
        <w:br w:type="textWrapping"/>
        <w:t xml:space="preserve">соревновании ImageNet Large Scale Visual Recognition Challenge (ILSVRC) [1,</w:t>
        <w:br w:type="textWrapping"/>
        <w:t xml:space="preserve">2, 3]. Для учета иерархии каждому изображению присваивалось 4 метки</w:t>
        <w:br w:type="textWrapping"/>
        <w:t xml:space="preserve">классов, соответствующие определенному уровню в иерархии объявлений.</w:t>
        <w:br w:type="textWrapping"/>
        <w:t xml:space="preserve">Классификатор модифицировался с учетом предсказания каждой из данных</w:t>
        <w:br w:type="textWrapping"/>
        <w:t xml:space="preserve">меток отдельным полносвязным слоем. Ошибки предсказания складывались</w:t>
        <w:br w:type="textWrapping"/>
        <w:t xml:space="preserve">пропорционально вкладу соответствующего им уровня в целевую метрику.</w:t>
        <w:br w:type="textWrapping"/>
        <w:t xml:space="preserve">Итоговое решение показало один из лучших результатов в рамках данного</w:t>
        <w:br w:type="textWrapping"/>
        <w:t xml:space="preserve">соревнования.</w:t>
        <w:br w:type="textWrapping"/>
        <w:br w:type="textWrapping"/>
        <w:t xml:space="preserve">Список литературы</w:t>
        <w:br w:type="textWrapping"/>
        <w:t xml:space="preserve">1. Szegedy C. et al. Going deeper with convolutions //Proceedings of the IEEE</w:t>
        <w:br w:type="textWrapping"/>
        <w:t xml:space="preserve">Conference on Computer Vision and Pattern Recognition. – 2015. – С. 1-9.</w:t>
        <w:br w:type="textWrapping"/>
        <w:t xml:space="preserve">2. 6Szegedy C. et al. Rethinking the inception architecture for computer vision</w:t>
        <w:br w:type="textWrapping"/>
        <w:t xml:space="preserve">//Proceedings of the IEEE Conference on Computer Vision and Pattern</w:t>
        <w:br w:type="textWrapping"/>
        <w:t xml:space="preserve">Recognition. – 2016. – С. 2818-2826.</w:t>
        <w:br w:type="textWrapping"/>
        <w:t xml:space="preserve">3. He K. et al. Deep residual learning for image recognition //Proceedings of</w:t>
        <w:br w:type="textWrapping"/>
        <w:t xml:space="preserve">the IEEE Conference on Computer Vision and Pattern Recognition. – 2016.</w:t>
        <w:br w:type="textWrapping"/>
        <w:t xml:space="preserve">– С. 770-778.</w:t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