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2ws8ostqqbd0" w:id="0"/>
      <w:bookmarkEnd w:id="0"/>
      <w:r w:rsidDel="00000000" w:rsidR="00000000" w:rsidRPr="00000000">
        <w:rPr>
          <w:rtl w:val="0"/>
        </w:rPr>
      </w:r>
    </w:p>
    <w:p w:rsidR="00000000" w:rsidDel="00000000" w:rsidP="00000000" w:rsidRDefault="00000000" w:rsidRPr="00000000">
      <w:pPr>
        <w:keepNext w:val="0"/>
        <w:keepLines w:val="0"/>
        <w:widowControl w:val="0"/>
        <w:spacing w:after="300" w:before="0" w:line="276" w:lineRule="auto"/>
        <w:ind w:left="0" w:right="0" w:firstLine="0"/>
        <w:contextualSpacing w:val="0"/>
        <w:jc w:val="center"/>
      </w:pPr>
      <w:r w:rsidDel="00000000" w:rsidR="00000000" w:rsidRPr="00000000">
        <w:rPr>
          <w:rFonts w:ascii="Times New Roman" w:cs="Times New Roman" w:eastAsia="Times New Roman" w:hAnsi="Times New Roman"/>
          <w:b w:val="1"/>
          <w:i w:val="0"/>
          <w:color w:val="366091"/>
          <w:sz w:val="24"/>
          <w:szCs w:val="24"/>
          <w:rtl w:val="0"/>
        </w:rPr>
        <w:t xml:space="preserve">ЗАКОН СОХРАНЕНИЯ ЦЕЛОСТНОСТИ ОБЪЕКТА – МЕТОДОЛОГИЧЕСКАЯ ОСНОВА РЕШЕНИЯ ЗАДАЧ ИНФОРМАЦИОННОЙ ВОЙНЫ И ОБЕСПЕЧЕНИЯ БЕЗОПАСНОСТИ</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color w:val="000000"/>
          <w:sz w:val="24"/>
          <w:szCs w:val="24"/>
          <w:rtl w:val="0"/>
        </w:rPr>
        <w:t xml:space="preserve">Бурлов Вячеслав Георгиевич</w:t>
      </w:r>
    </w:p>
    <w:p w:rsidR="00000000" w:rsidDel="00000000" w:rsidP="00000000" w:rsidRDefault="00000000" w:rsidRPr="00000000">
      <w:pPr>
        <w:keepNext w:val="0"/>
        <w:keepLines w:val="0"/>
        <w:widowControl w:val="0"/>
        <w:spacing w:after="3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1"/>
          <w:color w:val="595959"/>
          <w:sz w:val="22"/>
          <w:szCs w:val="22"/>
          <w:rtl w:val="0"/>
        </w:rPr>
        <w:t xml:space="preserve">Российский государственный гидрометеорологический университет </w:t>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color w:val="000000"/>
          <w:sz w:val="24"/>
          <w:szCs w:val="24"/>
          <w:rtl w:val="0"/>
        </w:rPr>
        <w:t xml:space="preserve">burlovvg@mаil.ru</w:t>
        <w:br w:type="textWrapping"/>
        <w:t xml:space="preserve">Критически важным ресурсом, оказывающим определяющее влияние на национальную безопасность, становится информация, циркулирующая в обществе. В процессе деятельности социально-экономические образования различного уровня иерархии (от отдельного человека, организации, района до государства) при несовпадении целей деятельности возникают конфликты. В основе деятельности лежит решение человека (лица принимающего решение (ЛПР)).[1] Деятельность основывается на модели[2,3]. Под информацией обычно понимают сведения об окружающем мире и протекающих в нем процессах, воспринимаемые человеком или специальным устройством. Сведения, используемые человеком в своей деятельности, имеют у него модельную интерпретацию – модель целевого объекта. Зависимость деятельности человека от информации (модельного представления)  сформировала  новое направление в противоборстве социально - экономических  образований как информационное, которое в конце 20-го века получило название  «информационная война». </w:t>
        <w:br w:type="textWrapping"/>
        <w:t xml:space="preserve">Деятельность осуществляется в 3-х системах: социальной, экономической, технико-технологической. Поэтому информационная война строится на воздействии на процессы, протекающие в этих системах.[3,4] </w:t>
        <w:br w:type="textWrapping"/>
        <w:t xml:space="preserve">Социально-экономические система разрушаются через индивидуальное и массовое сознание. </w:t>
        <w:br w:type="textWrapping"/>
        <w:t xml:space="preserve">Технико-технологическая через технические средства, в первую очередь, компьютеры и телекоммуникационные системы. Поэтому методология решения задач имеет два направления. [3,4]</w:t>
        <w:br w:type="textWrapping"/>
        <w:t xml:space="preserve">Первое.  Синтез формирования адекватных моделей социального поведения как отдельного человека, так государства в целом. </w:t>
        <w:br w:type="textWrapping"/>
        <w:t xml:space="preserve">Второе.  Синтез адекватной модели вычислений в компьютерах и телекоммуникационных системах. Второе направление деятельности получило название «Информационная безопасность». Для решения  указанных проблем, методология решения задач информационной войны должна давать ЛПР условие существования процесса  деятельности. Решения основано на системной интеграции свойств мышления человека, свойств объектов окружающего мира и всеобщей связи явлений. Разработанный естественно-научный подход (ЕНП) реализуется на базе трёх принципов: трёхкомпонентности познания, целостности мира, познаваемости.  Первый характеризует взаимосвязанные абстрактное, абстрактно-конкретное и конкретное мышление. Второй - закон сохранения целостности объекта (ЗСЦО) – устойчивая объективная повторяющаяся связь свойств объекта и его действия при фиксированном предназначении. Третий – методами декомпозиции, абстрагирования, агрегирования. В основу условия существования процесса положен ЗСЦО. [3-5] Это позволило разработать механизм синтеза адекватной модели социального поведения, как отдельного человека, так и государства, в целом. Что стало возможным, благодаря синтезу математической модели решения человека в вероятностной и детерминированной постановке. А для технико-технологической системы  - механизм синтеза адекватной модели компьютера, как альтернатива существующим вычислительным системам.  Адекватность модели деятельности объекта  как в социально-экономической, так и в технико-технологических системах,  позволяет гарантировать безопасность к воздействию внешних и внутренних  угроз  в условиях информационной войны. [2-4].  Результаты позволяют обосновать  как создание  ситуационного центра управления информационными процессами в обществе, так и  принципиально новых компьютерных технологий, способных решать задачи в условиях информационной войны.  </w:t>
        <w:br w:type="textWrapping"/>
        <w:t xml:space="preserve">Литература</w:t>
        <w:br w:type="textWrapping"/>
        <w:t xml:space="preserve">1.Моисеев Н.Н. Математические задачи системного анализа// Изд-во: Либроком : 2012. - 490 стр.  </w:t>
        <w:br w:type="textWrapping"/>
        <w:t xml:space="preserve">2.Бурлов В.Г. О концепции гарантированного управления устойчивым развитием Арктической зоны на основе решения обратной задачи.// Информационные технологии и системы: управление, экономика, транспорт, право. 2015. № 2 (16). С. 99-111</w:t>
        <w:br w:type="textWrapping"/>
        <w:t xml:space="preserve">3.Бурлов В.Г., Лепёшкин О.М. Моделирование процесса управления на основе теории радикалов //Нейрокомпьютеры: разработка, применение. 2016. № 3. С. 54-61.</w:t>
        <w:br w:type="textWrapping"/>
        <w:t xml:space="preserve">4.Burlov V.G., Grobitski А.М.   Development of a Model for Social System Management in the Construction Process Taking into Account Manager’s Qualification// Humanities &amp; Science University Journal. №15 (2015), Peter the Great St. Petersburg Polytechnic University, Russia.2015, pp.25-36.</w:t>
        <w:br w:type="textWrapping"/>
        <w:t xml:space="preserve">5.Бурлов В.Г. Синтез модели управления информационной безопасностью. В сборнике: Информационные управляющие системы и технологии. Материалы IV Международной научно-практической конференции (ИУСТ-ОДЕССА-2015). 2015. С. 147-150.</w:t>
        <w:br w:type="textWrapping"/>
      </w:r>
    </w:p>
    <w:sectPr>
      <w:pgSz w:h="23811" w:w="16838"/>
      <w:pgMar w:bottom="850.3937007874016" w:top="1700.7874015748032"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jc w:val="center"/>
    </w:pPr>
    <w:rPr>
      <w:b w:val="1"/>
      <w:sz w:val="48"/>
      <w:szCs w:val="48"/>
    </w:rPr>
  </w:style>
  <w:style w:type="paragraph" w:styleId="Heading2">
    <w:name w:val="heading 2"/>
    <w:basedOn w:val="Normal"/>
    <w:next w:val="Normal"/>
    <w:pPr>
      <w:keepNext w:val="1"/>
      <w:keepLines w:val="1"/>
      <w:spacing w:after="80" w:lineRule="auto"/>
      <w:contextualSpacing w:val="1"/>
      <w:jc w:val="center"/>
    </w:pPr>
    <w:rPr>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line="276" w:lineRule="auto"/>
      <w:contextualSpacing w:val="1"/>
      <w:jc w:val="center"/>
    </w:pPr>
    <w:rPr>
      <w:rFonts w:ascii="Georgia" w:cs="Georgia" w:eastAsia="Georgia" w:hAnsi="Georgia"/>
      <w:b w:val="1"/>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