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ПРИМЕНЕНИЕ НЕЙРОННЫХ СЕТЕЙ ДЛЯ УПРАВЛЕНИЯ ОЧИСТНЫМ АГРЕГАТОМ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Волкова Людмила Петровна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Панкрушин Петр Юрьевич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Московский институт стали и сплавов (национальный исследовательский технологический университет) (НИТУ МИСиС)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Продолжая разговор о целесообразности применения нейронных сетей как при управлении автоматизированными очистными подземными агрегатами, так и при их проектировании, наиболее актуальными следует назвать вопросы обеспечения достаточной управляемости при отсутствии людей в пространстве забоя [1].. Наибольшая маневренность агрегата в плоскости пласта достигается при управлении с изменением прогиба базы. При появлении  пробуксовки секции, в том числе и из-за возможной непараллельности штреков, происходит нарушение прямолинейности управляющего элемента. Между его секциями образуется угол рассогласования, который является информацией о состоянии положения базы, а также сигналом для восстановления её прямолинейности. Подсистема управления очистным агрегатом в плоскости пласта в структуре агрегата является одним из функциональных элементов системы передвижения агрегата по пласту и связью между базой и механизированной крепью. При моделировании этой подсистемы выходными параметрами являются глубина резания исполнительным органом по забою и параметры положения агрегата в плоскости пласта: угол между пролётами модулей базы, прогиб базы и угол встречи осей базы и штрека [2]. </w:t>
        <w:br w:type="textWrapping"/>
        <w:t xml:space="preserve">Задачи интеллектуализации управления при реализации концепции безлюдной подземной выемки угля связаны с необходимостью слежения за ходом времени при движении очистных подземных агрегатов, что, в свою очередь, для интеллектуальных систем управления связано с необходимостью прогнозирования развития ситуаций через оценки будущих событий [3].</w:t>
        <w:br w:type="textWrapping"/>
        <w:t xml:space="preserve">Поскольку структура и особенности функционирования инструментария формирования прогноза определяются свойствами объекта управления, изменяющимися по ходу времени, то при разработке такого инструментария в подсистеме управления движением стругового агрегата в плоскости пласта при выемке угля  эту информацию необходимо постоянно корректировать по мере подвигания забоя. Это можно осуществлять на основе информации  о динамике возрастания ошибки [4]. Если же использовать результаты прогнозирования для формирования управляющего воздействия для подсистемы передвижения агрегата в плоскости пласта, то здесь усматривается некая аналогия с автоматизированным проектированием [5]. При этом данные о контроле качества управления по обратной связи могут также обобщаться за счет нейронных сетей. Такая информация может накапливаться и использоваться для экспериментов на модельных и реальных данных при машинном обучении.</w:t>
        <w:br w:type="textWrapping"/>
        <w:br w:type="textWrapping"/>
        <w:t xml:space="preserve">Литература</w:t>
        <w:br w:type="textWrapping"/>
        <w:t xml:space="preserve">1.</w:t>
        <w:tab/>
        <w:t xml:space="preserve">Волкова Л.П., Панкрушин П.Ю. Особенности управления струговым агрегатом в условиях непараллельности штреков. Горный информационно-аналитический бюллетень. – М.: МГГУ, 2013г, № 6.</w:t>
        <w:br w:type="textWrapping"/>
        <w:t xml:space="preserve">2.</w:t>
        <w:tab/>
        <w:t xml:space="preserve">Панкрушин П.Ю. «Разработка программы расчета параметров при управлении фронтальным струговым агрегатом в плоскости пласта». М.:МГГУ, №6 (отдельный выпуск), 2011. «Горный информационно-аналитический бюллетень. Информатизация и управления», с. 631-644.</w:t>
        <w:br w:type="textWrapping"/>
        <w:t xml:space="preserve">3.</w:t>
        <w:tab/>
        <w:t xml:space="preserve">Панкрушин П.Ю.. О формировании прогноза с учетом динамики возрастания ошибки. - XIII Всероссийская научная конференция «Нейрокомпьютеры и их применение». Тезисы докладов. – М: МГППУ, 2015. ( НКП-2015, секция №14 «Характеризационный анализ»).</w:t>
        <w:br w:type="textWrapping"/>
        <w:t xml:space="preserve">4.</w:t>
        <w:tab/>
        <w:t xml:space="preserve">Панкрушин П.Ю. О необходимости распараллеливания информационных потоков при управлении струговым агрегатом. – XIV Всероссийская научная конференция «Нейрокомпьютеры и их применение». Тезисы докладов. – М: МГППУ, 2016. (НКП-2016,секция №9«Характеризационный анализ»,с.103-104).</w:t>
        <w:br w:type="textWrapping"/>
        <w:t xml:space="preserve">5.</w:t>
        <w:tab/>
        <w:t xml:space="preserve">Волкова Л.П., Панкрушин П.Ю. Выбор структуры операционной среды   САПР струговых агрегатов и установок. (Неделя горняка 2013). - Горный информационно-аналитический бюллетень.- М.: Издательство «Горная книга». –  2014, № 3.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