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정부 R&amp;D 특허의 기술이전 예측: 설명가능 머신러닝(XGBoost + SHAP) 접근</w:t>
      </w:r>
    </w:p>
    <w:p>
      <w:pPr>
        <w:jc w:val="center"/>
      </w:pPr>
      <w:r>
        <w:rPr>
          <w:b/>
        </w:rPr>
        <w:t>Author 1¹, Author 2²</w:t>
      </w:r>
    </w:p>
    <w:p>
      <w:pPr>
        <w:jc w:val="center"/>
      </w:pPr>
      <w:r>
        <w:rPr>
          <w:i/>
        </w:rPr>
        <w:t>(공동연구자 성명·소속 삽입 위치 — placeholder)</w:t>
      </w:r>
    </w:p>
    <w:p>
      <w:pPr>
        <w:spacing w:line="240" w:lineRule="auto"/>
        <w:jc w:val="center"/>
      </w:pPr>
      <w:r>
        <w:rPr>
          <w:b/>
        </w:rPr>
        <w:t>타깃 저널:</w:t>
      </w:r>
      <w:r>
        <w:t xml:space="preserve"> Expert Systems with Applications (SCIE)</w:t>
      </w:r>
    </w:p>
    <w:p>
      <w:pPr>
        <w:spacing w:line="240" w:lineRule="auto"/>
        <w:jc w:val="center"/>
      </w:pPr>
      <w:r>
        <w:rPr>
          <w:b/>
        </w:rPr>
        <w:t>초안 버전:</w:t>
      </w:r>
      <w:r>
        <w:t xml:space="preserve"> v1 (2026-07-23)</w:t>
      </w:r>
    </w:p>
    <w:p>
      <w:pPr>
        <w:spacing w:line="240" w:lineRule="auto"/>
        <w:jc w:val="center"/>
      </w:pPr>
      <w:r>
        <w:rPr>
          <w:b/>
        </w:rPr>
        <w:t>데이터:</w:t>
      </w:r>
      <w:r>
        <w:t xml:space="preserve"> NTIS(성과) + KIPRIS(서지) 결합, 등록특허 N = 155,522</w:t>
      </w:r>
    </w:p>
    <w:p/>
    <w:tbl>
      <w:tblPr>
        <w:tblStyle w:val="TableGrid"/>
        <w:tblW w:type="auto" w:w="0"/>
        <w:tblLook w:firstColumn="1" w:firstRow="1" w:lastColumn="0" w:lastRow="0" w:noHBand="0" w:noVBand="1" w:val="04A0"/>
      </w:tblPr>
      <w:tblGrid>
        <w:gridCol w:w="7272"/>
      </w:tblGrid>
      <w:tr>
        <w:tc>
          <w:tcPr>
            <w:tcW w:type="dxa" w:w="7272"/>
            <w:shd w:val="clear" w:fill="FFF2CC"/>
          </w:tcPr>
          <w:p>
            <w:pPr>
              <w:spacing w:line="240" w:lineRule="auto"/>
            </w:pPr>
            <w:r>
              <w:rPr>
                <w:b/>
              </w:rPr>
              <w:t>■ 검토 요청 사항</w:t>
            </w:r>
          </w:p>
          <w:p>
            <w:pPr>
              <w:spacing w:line="240" w:lineRule="auto"/>
              <w:ind w:left="288"/>
            </w:pPr>
            <w:r>
              <w:t>(1) 연구 격차 및 가설의 타당성</w:t>
            </w:r>
          </w:p>
          <w:p>
            <w:pPr>
              <w:spacing w:line="240" w:lineRule="auto"/>
              <w:ind w:left="288"/>
            </w:pPr>
            <w:r>
              <w:t>(2) 결과 해석의 적절성</w:t>
            </w:r>
          </w:p>
          <w:p>
            <w:pPr>
              <w:spacing w:line="240" w:lineRule="auto"/>
              <w:ind w:left="288"/>
            </w:pPr>
            <w:r>
              <w:t>(3) 한계 섹션 보완 필요 여부</w:t>
            </w:r>
          </w:p>
        </w:tc>
      </w:tr>
    </w:tbl>
    <w:p/>
    <w:p>
      <w:pPr>
        <w:pStyle w:val="Heading1"/>
      </w:pPr>
      <w:r>
        <w:t>초록 (Abstract)</w:t>
      </w:r>
    </w:p>
    <w:p>
      <w:r>
        <w:t xml:space="preserve">정부 연구개발(R&amp;D) 예산으로 창출된 특허가 실제 기술이전(기술료 발생)으로 이어지는 비율은 제한적이다. 따라서 이전 가능성이 높은 특허를 사전에 식별하는 것은 R&amp;D 성과관리의 핵심 과제다. 본 연구는 NTIS와 KIPRIS를 결합한 국내 등록특허 155,522건을 대상으로 기술료 발생 여부(발생률 26.6%)를 예측하는 이진 분류 모형을 구축하고, SHAP(SHapley Additive exPlanations)을 활용해 예측 요인을 해석한다. 로지스틱 회귀, 랜덤 포레스트, XGBoost, LightGBM을 5-fold 교차검증으로 비교한 결과, 트리 기반 앙상블은 선형 모형보다 현저히 우수한 성능을 보였다(Test ROC-AUC 0.70–0.71 vs 0.60). SHAP 분석에서 예측력은 (i) 등록연도·특허연령 등의 </w:t>
      </w:r>
      <w:r>
        <w:rPr>
          <w:b/>
        </w:rPr>
        <w:t>시간·행정 맥락</w:t>
      </w:r>
      <w:r>
        <w:t xml:space="preserve">, (ii) 부처·기관유형 등의 </w:t>
      </w:r>
      <w:r>
        <w:rPr>
          <w:b/>
        </w:rPr>
        <w:t>정책·제도 맥락</w:t>
      </w:r>
      <w:r>
        <w:t xml:space="preserve">, (iii) 청구항·발명자 수 등의 </w:t>
      </w:r>
      <w:r>
        <w:rPr>
          <w:b/>
        </w:rPr>
        <w:t>특허 자체 품질</w:t>
      </w:r>
      <w:r>
        <w:t xml:space="preserve"> 순으로 배분되었으며, 기관·정책 맥락의 예측 기여가 개별 특허 품질보다 컸다. 연도·기관유형별 하위집단의 성능은 안정적이었으나, 시계열 외삽 검증에서는 AUC가 약 0.10 하락했다. 이는 시간에 따른 분포 변화와 관측창 중도절단이 일반화의 주요 한계임을 보여준다. 한편 등록연도를 제거한 민감도 분석에서도 AUC는 0.65 수준을 유지했고 부처·기관 맥락이 최상위 예측인자로 부상했다. 이에 따라 맥락 우위가 시간 변수의 인위적 산물이 아님을 확인했다. 본 연구는 R&amp;D 특허 사업화 스크리닝에 설명가능 AI를 적용한 대규모 실증 사례로서, 이전 유망 특허를 조기에 선별하기 위한 실무적 지표를 제시한다.</w:t>
      </w:r>
    </w:p>
    <w:p>
      <w:r>
        <w:rPr>
          <w:b/>
        </w:rPr>
        <w:t>키워드:</w:t>
      </w:r>
      <w:r>
        <w:t xml:space="preserve"> 기술이전, 특허 사업화, 설명가능 인공지능, SHAP, XGBoost, 정부 R&amp;D</w:t>
      </w:r>
    </w:p>
    <w:p>
      <w:pPr>
        <w:pStyle w:val="Heading2"/>
      </w:pPr>
      <w:r>
        <w:t>English Abstract (draft — 검수 필요)</w:t>
      </w:r>
    </w:p>
    <w:p>
      <w:r>
        <w:t>Only a limited fraction of patents arising from government research and development (R&amp;D) funding is ultimately transferred to industry; identifying transfer-prone patents at an early stage is therefore a central task in R&amp;D performance management. Drawing on 155,522 Korean registered patents that integrate NTIS and KIPRIS records, this study develops binary classifiers that predict royalty occurrence (positive rate 26.6%) and interprets their drivers using SHAP (SHapley Additive exPlanations). Under 5-fold cross-validation, tree-based ensembles substantially outperformed the linear baseline (test ROC-AUC 0.70–0.71 versus 0.60). SHAP analysis distributed predictive power across three tiers: (i) temporal–administrative context (registration year and patent age), (ii) policy–institutional context (funding ministry and institution type), and (iii) intrinsic patent quality (claims and inventors); notably, institutional and policy context contributed more than individual patent quality. Subgroup performance remained stable, whereas out-of-time validation reduced AUC by roughly 0.10, indicating that temporal distribution shift and right-censoring are the principal limits to generalization. A sensitivity analysis that excludes registration year nevertheless retained AUC near 0.65, with policy–institutional context rising to the top, confirming that context dominance is not a temporal artifact. This study contributes a large-scale explainable-AI application for R&amp;D patent commercialization screening and a practical indicator for early identification of transfer-promising patents.</w:t>
      </w:r>
    </w:p>
    <w:p>
      <w:r>
        <w:rPr>
          <w:b/>
        </w:rPr>
        <w:t>Keywords:</w:t>
      </w:r>
      <w:r>
        <w:t xml:space="preserve"> technology transfer; patent commercialization; explainable artificial intelligence; SHAP; XGBoost; government R&amp;D</w:t>
      </w:r>
    </w:p>
    <w:p>
      <w:pPr>
        <w:pStyle w:val="Heading1"/>
      </w:pPr>
      <w:r>
        <w:t>1. 서론 (Introduction)</w:t>
      </w:r>
    </w:p>
    <w:p>
      <w:r>
        <w:t>정부 R&amp;D 투자의 확대와 함께 창출 특허 수는 급증했으나, 그 중 실제 사업화·기술이전으로 연결되는 비율은 여전히 낮다는 문제가 지속적으로 제기되어 왔다. 본 데이터에서도 등록특허 155,522건 중 기술료가 발생한 건은 41,391건(26.6%)에 그친다. 어떤 특허가 이전 가능성이 높은지를 등록 시점에 사전 식별할 수 있다면, 기술이전 전담조직(TLO)의 마케팅 자원 배분, 후속 R&amp;D 투자 판단, 정책 성과관리에 직접 활용될 수 있다.</w:t>
      </w:r>
    </w:p>
    <w:p>
      <w:r>
        <w:t>본 연구의 연구질문은 다음 두 가지다.</w:t>
      </w:r>
    </w:p>
    <w:p>
      <w:pPr>
        <w:pStyle w:val="ListBullet"/>
      </w:pPr>
      <w:r>
        <w:rPr>
          <w:b/>
        </w:rPr>
        <w:t>RQ1 (예측).</w:t>
      </w:r>
      <w:r>
        <w:t xml:space="preserve"> 특허 서지·기관·정책 특성만으로 기술이전 발생 여부를 어느 정도 예측할 수 있는가?</w:t>
      </w:r>
    </w:p>
    <w:p>
      <w:pPr>
        <w:pStyle w:val="ListBullet"/>
      </w:pPr>
      <w:r>
        <w:rPr>
          <w:b/>
        </w:rPr>
        <w:t>RQ2 (설명).</w:t>
      </w:r>
      <w:r>
        <w:t xml:space="preserve"> 이전 가능성을 좌우하는 핵심 요인은 무엇이며, 개별 특허 품질과 기관·정책 맥락 중 무엇이 더 중요한가?</w:t>
      </w:r>
    </w:p>
    <w:p>
      <w:r>
        <w:t>기존 특허가치·사업화 예측 연구는 인용·청구항 등 특허 자체 지표에 집중해 왔으나, 정부 R&amp;D 맥락에서는 소유 기관의 이전 역량과 지원 부처의 정책 채널이 결과를 좌우할 수 있다. 본 연구는 대규모 결합 데이터(NTIS+KIPRIS)에 설명가능 머신러닝을 적용하여 두 축의 상대적 기여를 정량적으로 분해한다는 점에서 차별화된다.</w:t>
      </w:r>
    </w:p>
    <w:p>
      <w:pPr>
        <w:pStyle w:val="Heading1"/>
      </w:pPr>
      <w:r>
        <w:t>2. 관련 연구 (Related Work)</w:t>
      </w:r>
    </w:p>
    <w:p>
      <w:pPr>
        <w:pStyle w:val="Heading2"/>
      </w:pPr>
      <w:r>
        <w:t>2.1 특허 품질·가치 지표와 사업화</w:t>
      </w:r>
    </w:p>
    <w:p>
      <w:r>
        <w:t xml:space="preserve">특허가치·사업화 예측 문헌은 오랫동안 서지 기반 지표에 의존해 왔다. 선행연구는 설명변수를 특허 자체 특성(전방·후방 인용, IPC 분류 수, 청구항 수, 발명자 수), 소유권 특성, 내부정보 등으로 범주화해 왔으며(Chang et al., 2015), 인용·청구항 수·패밀리 크기·기술 범위가 특허가치의 신뢰할 만한 대리지표로 반복적으로 활용되었다(Danish et al., 2020). 그러나 이러한 지표의 이질성과 개념적 혼재가 지적되면서, 최근의 체계적 문헌고찰은 '특허 품질(quality)'과 '특허 가치(value)'를 개념적으로 구분할 것을 제안한다(Ananthraman et al., 2023). 실증적으로도 이들 지표만으로는 상업적 기회를 정확히 판별하기 어려워 기업조차 기술기회 평가에서 체계적 오류를 범하며(Kumar &amp; Operti, 2023), 특허의 기술적 복잡성·범위는 표준화·선언 성향과는 연관되나(Caviggioli et al., 2015) 실제 사업화 결정은 특허 특성을 통제한 뒤에도 조직 행동 요인에 크게 좌우된다(Birhanu &amp; Gambardella, 2023). 즉 </w:t>
      </w:r>
      <w:r>
        <w:rPr>
          <w:b/>
        </w:rPr>
        <w:t>개별 특허 품질 지표의 사업화 예측력은 제한적</w:t>
      </w:r>
      <w:r>
        <w:t>이라는 관찰이 축적되어 왔다.</w:t>
      </w:r>
    </w:p>
    <w:p>
      <w:pPr>
        <w:pStyle w:val="Heading2"/>
      </w:pPr>
      <w:r>
        <w:t>2.2 기관·정책 맥락과 기술이전</w:t>
      </w:r>
    </w:p>
    <w:p>
      <w:r>
        <w:t xml:space="preserve">두 번째 흐름은 사업화를 좌우하는 기관·정책 맥락에 주목한다. 미국 Bayh–Dole법(1980) 이후 대학·비영리기관의 공공기술 사업화가 하나의 부문으로 성장했고(Kesselheim, 2011; Coupet, 2024), 기술이전 성과는 특허 자체보다 대학 기술관리자(TLO)의 역량과 조직 맥락에 의해 매개된다는 점이 강조되어 왔다(Markman, Siegel, &amp; Wright, 2008). 이후 연구들은 TTO의 라이선싱 경험과 스타 과학자 보유가 사업화 성과를 높이고(Hsu &amp; Kuhn, 2022), 대학 내부 규제·인적자본 등 제도적 자원이 산학협력 성공을 좌우하며(Hojnik et al., 2026), 공공·비영리 부문 기업가정신에서 맥락(context)의 역할이 크다는 점을 보였다(Audretsch, Siegel, &amp; Terjesen, 2020; Lockett, Wright, &amp; Wild, 2014). 정책 설계 측면에서는 국가 혁신법의 효과가 지역·기술 격차에 따라 이질적으로 나타나(Araújo et al., 2025), 지원 부처·정책 영역별로 사업화 채널이 다를 수 있음을 시사한다. 특히 특허 </w:t>
      </w:r>
      <w:r>
        <w:rPr>
          <w:b/>
        </w:rPr>
        <w:t>등록(허여) 시점</w:t>
      </w:r>
      <w:r>
        <w:t>이 대학 발명의 라이선싱 성과에 영향을 준다는 실증(Min, Lee, &amp; Kim, 2021)은 본 연구에서 등록연도·특허연령이 강한 예측인자로 나타난 결과와 직접 맞닿는다.</w:t>
      </w:r>
    </w:p>
    <w:p>
      <w:pPr>
        <w:pStyle w:val="Heading2"/>
      </w:pPr>
      <w:r>
        <w:t>2.3 머신러닝·설명가능 AI 기반 예측</w:t>
      </w:r>
    </w:p>
    <w:p>
      <w:r>
        <w:t xml:space="preserve">세 번째 흐름은 예측 정확도와 해석가능성을 동시에 추구하는 머신러닝 접근이다. 특허 라이선싱·기술이전 맥락에서 TTO의 특허수익 발생 확률을 모형화하거나(Leite et al., 2022), 랜덤 포레스트로 특허 특성의 라이선싱 기여 위계를 분석한 연구(Reis et al., 2024)가 </w:t>
      </w:r>
      <w:r>
        <w:rPr>
          <w:i/>
        </w:rPr>
        <w:t>Expert Systems</w:t>
      </w:r>
      <w:r>
        <w:t>에 보고되었다. 방법론적으로는 그래디언트 부스팅(XGBoost; Chen &amp; Guestrin, 2016)이 비선형·상호작용 구조가 강한 표 형식 데이터에서 우수한 성능을 보이며, SHAP(Lundberg &amp; Lee, 2017)은 이러한 '블랙박스' 모형의 예측 기여를 게임이론적으로 분해해 보험사기 탐지(Debener, Heinke, &amp; Kriebel, 2023), 수질 예측(Shukla et al., 2026) 등 다양한 예측 문제에서 표준적 해석 도구로 자리잡았다. 실제로 XGBoost·앙상블과 SHAP를 결합한 예측·해석 사례는 여러 응용 분야에서 축적되고 있는데, 이진 분류에서 고객이탈 패턴을 SHAP로 해석하거나(Wang, Jordanger, &amp; Lin, 2025), 앙상블 학습과 SHAP를 결합해 산업 공정의 산출량을 예측·최적화한 연구(Zhang et al., 2023)가 대표적이다. 한편 본 연구처럼 양성 비율이 낮은 불균형 이진 분류에서는 표집(sampling)·비용민감·알고리즘 수준의 처리와 ROC-AUC·PR-AUC 기반 평가가 방법론적으로 정립되어 있다(Feng, Zhou, &amp; Tong, 2021). 특허 데이터에 대한 머신러닝 분류 역시 활발히 연구되어, 감독학습으로 대규모 특허를 유형 분류하거나(Miric, Jia, &amp; Huang, 2022) 특허 네트워크 분석에 기반한 하이브리드 분류(Liu &amp; Shih, 2011)가 제안된 바 있다.</w:t>
      </w:r>
    </w:p>
    <w:p>
      <w:pPr>
        <w:pStyle w:val="Heading2"/>
      </w:pPr>
      <w:r>
        <w:t>2.4 연구 격차 (Research Gap)</w:t>
      </w:r>
    </w:p>
    <w:p>
      <w:r>
        <w:t xml:space="preserve">그러나 세 흐름을 결합한 실증은 드물다. 기존 특허 라이선싱 ML 연구는 (i) 표본 규모가 제한적이거나 단일 TTO에 국한되고(Leite et al., 2022; Reis et al., 2024), (ii) 특허 자체 특성에 초점을 두어 </w:t>
      </w:r>
      <w:r>
        <w:rPr>
          <w:b/>
        </w:rPr>
        <w:t>기관유형·부처(정책) 맥락을 예측변수로 함께 모형화</w:t>
      </w:r>
      <w:r>
        <w:t xml:space="preserve">하지 않으며, (iii) 정부 R&amp;D 특허 전수에 가까운 대규모 행정 데이터(NTIS+KIPRIS)에 XAI를 적용해 </w:t>
      </w:r>
      <w:r>
        <w:rPr>
          <w:b/>
        </w:rPr>
        <w:t>품질 대 맥락의 상대적 기여를 정량 분해</w:t>
      </w:r>
      <w:r>
        <w:t>한 사례가 부족하다. 본 연구는 (1) 155,522건의 정부 R&amp;D 등록특허, (2) 특허 품질·기관·정책 맥락의 통합 모형, (3) SHAP 기반 기여도 분해(맥락 &gt; 개별 품질), (4) 등록연도 민감도·시계열 외삽 강건성 검증으로 이 격차를 메운다.</w:t>
      </w:r>
    </w:p>
    <w:p>
      <w:pPr>
        <w:pStyle w:val="Heading1"/>
      </w:pPr>
      <w:r>
        <w:t>3. 데이터 (Data)</w:t>
      </w:r>
    </w:p>
    <w:p>
      <w:pPr>
        <w:pStyle w:val="Heading2"/>
      </w:pPr>
      <w:r>
        <w:t>3.1 데이터 원천 및 결합</w:t>
      </w:r>
    </w:p>
    <w:p>
      <w:r>
        <w:t>NTIS(국가과학기술지식정보서비스, R&amp;D 성과)와 KIPRIS(특허정보검색서비스, 특허 서지)를 특허번호 기준으로 결합했다. 분석 단위는 등록특허 1건이며, 최종 분석표(</w:t>
      </w:r>
      <w:r>
        <w:rPr>
          <w:rFonts w:ascii="Consolas" w:hAnsi="Consolas"/>
        </w:rPr>
        <w:t>analysis_base_v2.parquet</w:t>
      </w:r>
      <w:r>
        <w:t>)는 155,522건 × 23개 변수로 구성된다. 기술료 계약 원장(</w:t>
      </w:r>
      <w:r>
        <w:rPr>
          <w:rFonts w:ascii="Consolas" w:hAnsi="Consolas"/>
        </w:rPr>
        <w:t>df_royalty_v1.parquet</w:t>
      </w:r>
      <w:r>
        <w:t>, 73,803건)은 타깃 정의와 기술료 규모 서술의 근거로 사용했다.</w:t>
      </w:r>
    </w:p>
    <w:p>
      <w:pPr>
        <w:pStyle w:val="Heading2"/>
      </w:pPr>
      <w:r>
        <w:t>3.2 종속변수</w:t>
      </w:r>
    </w:p>
    <w:p>
      <w:r>
        <w:rPr>
          <w:rFonts w:ascii="Consolas" w:hAnsi="Consolas"/>
        </w:rPr>
        <w:t>기술료발생</w:t>
      </w:r>
      <w:r>
        <w:t>은 해당 등록특허가 관측기간 내 1건 이상의 기술료 계약(기술이전)을 발생시켰으면 1, 아니면 0인 이진 변수다. 양성 비율은 26.6%(41,391건)로 중간 정도의 클래스 불균형을 보인다.</w:t>
      </w:r>
    </w:p>
    <w:p>
      <w:pPr>
        <w:pStyle w:val="Heading2"/>
      </w:pPr>
      <w:r>
        <w:t>3.3 독립변수</w:t>
      </w:r>
    </w:p>
    <w:p>
      <w:r>
        <w:t xml:space="preserve">변수는 네 범주로 구성된다(상세 정의는 </w:t>
      </w:r>
      <w:r>
        <w:rPr>
          <w:rFonts w:ascii="Consolas" w:hAnsi="Consolas"/>
        </w:rPr>
        <w:t>paper/01_variable_hypothesis.md</w:t>
      </w:r>
      <w:r>
        <w:t>).</w:t>
      </w:r>
    </w:p>
    <w:p>
      <w:pPr>
        <w:pStyle w:val="ListBullet"/>
      </w:pPr>
      <w:r>
        <w:rPr>
          <w:b/>
        </w:rPr>
        <w:t>기술적 범위·품질(KIPRIS):</w:t>
      </w:r>
      <w:r>
        <w:t xml:space="preserve"> 총/독립 청구항 수, IPC 분류 수, 패밀리 수, 후방(해외) 인용 수.</w:t>
      </w:r>
    </w:p>
    <w:p>
      <w:pPr>
        <w:pStyle w:val="ListBullet"/>
      </w:pPr>
      <w:r>
        <w:rPr>
          <w:b/>
        </w:rPr>
        <w:t>발명 투입:</w:t>
      </w:r>
      <w:r>
        <w:t xml:space="preserve"> 발명자 수.</w:t>
      </w:r>
    </w:p>
    <w:p>
      <w:pPr>
        <w:pStyle w:val="ListBullet"/>
      </w:pPr>
      <w:r>
        <w:rPr>
          <w:b/>
        </w:rPr>
        <w:t>기관·정책 맥락(NTIS):</w:t>
      </w:r>
      <w:r>
        <w:t xml:space="preserve"> 기관유형(4범주), 부처유형(13범주).</w:t>
      </w:r>
    </w:p>
    <w:p>
      <w:pPr>
        <w:pStyle w:val="ListBullet"/>
      </w:pPr>
      <w:r>
        <w:rPr>
          <w:b/>
        </w:rPr>
        <w:t>등록·시간 맥락:</w:t>
      </w:r>
      <w:r>
        <w:t xml:space="preserve"> 특허연령(월), 등록연도, 등록상태, 최종처분, 출원일자 결측 플래그.</w:t>
      </w:r>
    </w:p>
    <w:p>
      <w:pPr>
        <w:pStyle w:val="Heading2"/>
      </w:pPr>
      <w:r>
        <w:t>3.4 전처리</w:t>
      </w:r>
    </w:p>
    <w:p>
      <w:r>
        <w:t>특허연령·출원연도 결측은 중앙값으로 대체하고 별도 결측 플래그(</w:t>
      </w:r>
      <w:r>
        <w:rPr>
          <w:rFonts w:ascii="Consolas" w:hAnsi="Consolas"/>
        </w:rPr>
        <w:t>출원일자_결측</w:t>
      </w:r>
      <w:r>
        <w:t>)를 유지했다. 범주형은 문자열로 정규화 후 원-핫 인코딩했으며, 출원연도와 강상관인 관계로 등록연도만 모형에 포함했다. 최종 설계행렬은 34개 특징으로 구성된다.</w:t>
      </w:r>
    </w:p>
    <w:p>
      <w:pPr>
        <w:pStyle w:val="Heading1"/>
      </w:pPr>
      <w:r>
        <w:t>4. 방법론 (Methods)</w:t>
      </w:r>
    </w:p>
    <w:p>
      <w:pPr>
        <w:pStyle w:val="Heading2"/>
      </w:pPr>
      <w:r>
        <w:t>4.1 실험 설계</w:t>
      </w:r>
    </w:p>
    <w:p>
      <w:r>
        <w:t xml:space="preserve">층화 무작위 분할로 학습 124,417건 / 평가 31,105건(80:20, seed=42)을 구성하고, 학습 세트에서 5-fold 층화 교차검증으로 모형을 비교했다. 불균형 보정을 위해 트리 모형은 </w:t>
      </w:r>
      <w:r>
        <w:rPr>
          <w:rFonts w:ascii="Consolas" w:hAnsi="Consolas"/>
        </w:rPr>
        <w:t>scale_pos_weight</w:t>
      </w:r>
      <w:r>
        <w:t>=2.757, 선형·랜덤포레스트는 class weight balancing을 적용했다.</w:t>
      </w:r>
    </w:p>
    <w:p>
      <w:pPr>
        <w:pStyle w:val="Heading2"/>
      </w:pPr>
      <w:r>
        <w:t>4.2 모형</w:t>
      </w:r>
    </w:p>
    <w:p>
      <w:r>
        <w:t xml:space="preserve">로지스틱 회귀(표준화 + balanced), 랜덤 포레스트(400트리), XGBoost(600트리, depth 6, lr 0.05), LightGBM(600트리, num_leaves 63)을 벤치마크했다. 불균형 데이터에서 정확도는 오도 소지가 있어 </w:t>
      </w:r>
      <w:r>
        <w:rPr>
          <w:b/>
        </w:rPr>
        <w:t>ROC-AUC와 PR-AUC</w:t>
      </w:r>
      <w:r>
        <w:t>를 주 지표로, F1·정밀도·재현율·Brier score를 보조 지표로 사용했다.</w:t>
      </w:r>
    </w:p>
    <w:p>
      <w:pPr>
        <w:pStyle w:val="Heading2"/>
      </w:pPr>
      <w:r>
        <w:t>4.3 해석 및 강건성</w:t>
      </w:r>
    </w:p>
    <w:p>
      <w:r>
        <w:t xml:space="preserve">최적 성능 모형군(트리 앙상블) 중 사전 선언 방법론과 문헌 표준에 따라 </w:t>
      </w:r>
      <w:r>
        <w:rPr>
          <w:b/>
        </w:rPr>
        <w:t>XGBoost</w:t>
      </w:r>
      <w:r>
        <w:t>를 SHAP 해석 대상으로 선정했다(랜덤포레스트가 근소 우위이나 트리 3종은 통계적으로 동률). TreeExplainer로 평가 세트 전체(31,105건)의 SHAP 값을 산출해 전역 중요도·방향성·의존성을 분석했다. 강건성은 (a) 연도·기관유형 하위집단 성능, (b) 과거연도 학습→미래연도 예측 시계열 외삽으로 검증했다.</w:t>
      </w:r>
    </w:p>
    <w:p>
      <w:pPr>
        <w:pStyle w:val="Heading1"/>
      </w:pPr>
      <w:r>
        <w:t>5. 결과 (Results)</w:t>
      </w:r>
    </w:p>
    <w:p>
      <w:pPr>
        <w:pStyle w:val="Heading2"/>
      </w:pPr>
      <w:r>
        <w:t>5.1 기술통계·집단 비교 (그림: eda_*)</w:t>
      </w:r>
    </w:p>
    <w:p>
      <w:r>
        <w:t xml:space="preserve">수치형 변수의 발생/비발생 집단 차이는 통계적으로 유의하더라도 </w:t>
      </w:r>
      <w:r>
        <w:rPr>
          <w:b/>
        </w:rPr>
        <w:t>효과크기가 작았다</w:t>
      </w:r>
      <w:r>
        <w:t xml:space="preserve">. 최대는 청구항 수(Cohen's d=0.099), 발명자 수(d=0.049)였으며, IPC 분류 수·후방 인용·특허연령은 유의하지 않거나 무시할 수준(d&lt;0.03)이었다. 반면 범주형에서는 </w:t>
      </w:r>
      <w:r>
        <w:rPr>
          <w:b/>
        </w:rPr>
        <w:t>부처유형(Cramér's V=0.130)</w:t>
      </w:r>
      <w:r>
        <w:t>, 기관유형(0.065)이 뚜렷한 연관을 보였다(모두 p&lt;10⁻¹⁰⁰). 집단 발생률은 기관유형별로 출연연 29.4% &gt; 대학 27.9% &gt; 기업 23.8% &gt; 기타 17.7%로 격차가 컸다. 즉 개별 특허 품질보다 기관·정책 맥락의 변별력이 크다는 예비 신호를 확인했다.</w:t>
      </w:r>
    </w:p>
    <w:p>
      <w:pPr>
        <w:pStyle w:val="Heading2"/>
      </w:pPr>
      <w:r>
        <w:t>5.2 모형 성능 (표: model_performance.csv, 그림: roc_pr.png)</w:t>
      </w:r>
    </w:p>
    <w:tbl>
      <w:tblPr>
        <w:tblStyle w:val="TableGrid"/>
        <w:tblW w:type="auto" w:w="0"/>
        <w:tblLayout w:type="autofit"/>
        <w:tblLook w:firstColumn="1" w:firstRow="1" w:lastColumn="0" w:lastRow="0" w:noHBand="0" w:noVBand="1" w:val="04A0"/>
      </w:tblPr>
      <w:tblGrid>
        <w:gridCol w:w="1212"/>
        <w:gridCol w:w="1212"/>
        <w:gridCol w:w="1212"/>
        <w:gridCol w:w="1212"/>
        <w:gridCol w:w="1212"/>
        <w:gridCol w:w="1212"/>
      </w:tblGrid>
      <w:tr>
        <w:tc>
          <w:tcPr>
            <w:tcW w:type="dxa" w:w="1212"/>
          </w:tcPr>
          <w:p>
            <w:pPr>
              <w:spacing w:line="240" w:lineRule="auto"/>
            </w:pPr>
            <w:r>
              <w:rPr>
                <w:b/>
                <w:sz w:val="20"/>
              </w:rPr>
            </w:r>
            <w:r>
              <w:rPr>
                <w:b/>
                <w:sz w:val="20"/>
              </w:rPr>
              <w:t>모델</w:t>
            </w:r>
          </w:p>
        </w:tc>
        <w:tc>
          <w:tcPr>
            <w:tcW w:type="dxa" w:w="1212"/>
          </w:tcPr>
          <w:p>
            <w:pPr>
              <w:spacing w:line="240" w:lineRule="auto"/>
            </w:pPr>
            <w:r>
              <w:rPr>
                <w:b/>
                <w:sz w:val="20"/>
              </w:rPr>
            </w:r>
            <w:r>
              <w:rPr>
                <w:b/>
                <w:sz w:val="20"/>
              </w:rPr>
              <w:t>CV ROC-AUC</w:t>
            </w:r>
          </w:p>
        </w:tc>
        <w:tc>
          <w:tcPr>
            <w:tcW w:type="dxa" w:w="1212"/>
          </w:tcPr>
          <w:p>
            <w:pPr>
              <w:spacing w:line="240" w:lineRule="auto"/>
            </w:pPr>
            <w:r>
              <w:rPr>
                <w:b/>
                <w:sz w:val="20"/>
              </w:rPr>
            </w:r>
            <w:r>
              <w:rPr>
                <w:b/>
                <w:sz w:val="20"/>
              </w:rPr>
              <w:t>Test ROC-AUC</w:t>
            </w:r>
          </w:p>
        </w:tc>
        <w:tc>
          <w:tcPr>
            <w:tcW w:type="dxa" w:w="1212"/>
          </w:tcPr>
          <w:p>
            <w:pPr>
              <w:spacing w:line="240" w:lineRule="auto"/>
            </w:pPr>
            <w:r>
              <w:rPr>
                <w:b/>
                <w:sz w:val="20"/>
              </w:rPr>
            </w:r>
            <w:r>
              <w:rPr>
                <w:b/>
                <w:sz w:val="20"/>
              </w:rPr>
              <w:t>Test PR-AUC</w:t>
            </w:r>
          </w:p>
        </w:tc>
        <w:tc>
          <w:tcPr>
            <w:tcW w:type="dxa" w:w="1212"/>
          </w:tcPr>
          <w:p>
            <w:pPr>
              <w:spacing w:line="240" w:lineRule="auto"/>
            </w:pPr>
            <w:r>
              <w:rPr>
                <w:b/>
                <w:sz w:val="20"/>
              </w:rPr>
            </w:r>
            <w:r>
              <w:rPr>
                <w:b/>
                <w:sz w:val="20"/>
              </w:rPr>
              <w:t>F1</w:t>
            </w:r>
          </w:p>
        </w:tc>
        <w:tc>
          <w:tcPr>
            <w:tcW w:type="dxa" w:w="1212"/>
          </w:tcPr>
          <w:p>
            <w:pPr>
              <w:spacing w:line="240" w:lineRule="auto"/>
            </w:pPr>
            <w:r>
              <w:rPr>
                <w:b/>
                <w:sz w:val="20"/>
              </w:rPr>
            </w:r>
            <w:r>
              <w:rPr>
                <w:b/>
                <w:sz w:val="20"/>
              </w:rPr>
              <w:t>Brier</w:t>
            </w:r>
          </w:p>
        </w:tc>
      </w:tr>
      <w:tr>
        <w:tc>
          <w:tcPr>
            <w:tcW w:type="dxa" w:w="1212"/>
          </w:tcPr>
          <w:p>
            <w:pPr>
              <w:spacing w:line="240" w:lineRule="auto"/>
            </w:pPr>
            <w:r>
              <w:rPr>
                <w:sz w:val="20"/>
              </w:rPr>
            </w:r>
            <w:r>
              <w:rPr>
                <w:sz w:val="20"/>
              </w:rPr>
              <w:t>Random Forest</w:t>
            </w:r>
          </w:p>
        </w:tc>
        <w:tc>
          <w:tcPr>
            <w:tcW w:type="dxa" w:w="1212"/>
          </w:tcPr>
          <w:p>
            <w:pPr>
              <w:spacing w:line="240" w:lineRule="auto"/>
            </w:pPr>
            <w:r>
              <w:rPr>
                <w:sz w:val="20"/>
              </w:rPr>
            </w:r>
            <w:r>
              <w:rPr>
                <w:sz w:val="20"/>
              </w:rPr>
              <w:t>0.7035 ± 0.0010</w:t>
            </w:r>
          </w:p>
        </w:tc>
        <w:tc>
          <w:tcPr>
            <w:tcW w:type="dxa" w:w="1212"/>
          </w:tcPr>
          <w:p>
            <w:pPr>
              <w:spacing w:line="240" w:lineRule="auto"/>
            </w:pPr>
            <w:r>
              <w:rPr>
                <w:sz w:val="20"/>
              </w:rPr>
            </w:r>
            <w:r>
              <w:rPr>
                <w:b/>
                <w:sz w:val="20"/>
              </w:rPr>
              <w:t>0.7104</w:t>
            </w:r>
          </w:p>
        </w:tc>
        <w:tc>
          <w:tcPr>
            <w:tcW w:type="dxa" w:w="1212"/>
          </w:tcPr>
          <w:p>
            <w:pPr>
              <w:spacing w:line="240" w:lineRule="auto"/>
            </w:pPr>
            <w:r>
              <w:rPr>
                <w:sz w:val="20"/>
              </w:rPr>
            </w:r>
            <w:r>
              <w:rPr>
                <w:sz w:val="20"/>
              </w:rPr>
              <w:t>0.4621</w:t>
            </w:r>
          </w:p>
        </w:tc>
        <w:tc>
          <w:tcPr>
            <w:tcW w:type="dxa" w:w="1212"/>
          </w:tcPr>
          <w:p>
            <w:pPr>
              <w:spacing w:line="240" w:lineRule="auto"/>
            </w:pPr>
            <w:r>
              <w:rPr>
                <w:sz w:val="20"/>
              </w:rPr>
            </w:r>
            <w:r>
              <w:rPr>
                <w:sz w:val="20"/>
              </w:rPr>
              <w:t>0.4706</w:t>
            </w:r>
          </w:p>
        </w:tc>
        <w:tc>
          <w:tcPr>
            <w:tcW w:type="dxa" w:w="1212"/>
          </w:tcPr>
          <w:p>
            <w:pPr>
              <w:spacing w:line="240" w:lineRule="auto"/>
            </w:pPr>
            <w:r>
              <w:rPr>
                <w:sz w:val="20"/>
              </w:rPr>
            </w:r>
            <w:r>
              <w:rPr>
                <w:sz w:val="20"/>
              </w:rPr>
              <w:t>0.1984</w:t>
            </w:r>
          </w:p>
        </w:tc>
      </w:tr>
      <w:tr>
        <w:tc>
          <w:tcPr>
            <w:tcW w:type="dxa" w:w="1212"/>
          </w:tcPr>
          <w:p>
            <w:pPr>
              <w:spacing w:line="240" w:lineRule="auto"/>
            </w:pPr>
            <w:r>
              <w:rPr>
                <w:sz w:val="20"/>
              </w:rPr>
            </w:r>
            <w:r>
              <w:rPr>
                <w:sz w:val="20"/>
              </w:rPr>
              <w:t>LightGBM</w:t>
            </w:r>
          </w:p>
        </w:tc>
        <w:tc>
          <w:tcPr>
            <w:tcW w:type="dxa" w:w="1212"/>
          </w:tcPr>
          <w:p>
            <w:pPr>
              <w:spacing w:line="240" w:lineRule="auto"/>
            </w:pPr>
            <w:r>
              <w:rPr>
                <w:sz w:val="20"/>
              </w:rPr>
            </w:r>
            <w:r>
              <w:rPr>
                <w:sz w:val="20"/>
              </w:rPr>
              <w:t>0.7007 ± 0.0017</w:t>
            </w:r>
          </w:p>
        </w:tc>
        <w:tc>
          <w:tcPr>
            <w:tcW w:type="dxa" w:w="1212"/>
          </w:tcPr>
          <w:p>
            <w:pPr>
              <w:spacing w:line="240" w:lineRule="auto"/>
            </w:pPr>
            <w:r>
              <w:rPr>
                <w:sz w:val="20"/>
              </w:rPr>
            </w:r>
            <w:r>
              <w:rPr>
                <w:sz w:val="20"/>
              </w:rPr>
              <w:t>0.7066</w:t>
            </w:r>
          </w:p>
        </w:tc>
        <w:tc>
          <w:tcPr>
            <w:tcW w:type="dxa" w:w="1212"/>
          </w:tcPr>
          <w:p>
            <w:pPr>
              <w:spacing w:line="240" w:lineRule="auto"/>
            </w:pPr>
            <w:r>
              <w:rPr>
                <w:sz w:val="20"/>
              </w:rPr>
            </w:r>
            <w:r>
              <w:rPr>
                <w:sz w:val="20"/>
              </w:rPr>
              <w:t>0.4595</w:t>
            </w:r>
          </w:p>
        </w:tc>
        <w:tc>
          <w:tcPr>
            <w:tcW w:type="dxa" w:w="1212"/>
          </w:tcPr>
          <w:p>
            <w:pPr>
              <w:spacing w:line="240" w:lineRule="auto"/>
            </w:pPr>
            <w:r>
              <w:rPr>
                <w:sz w:val="20"/>
              </w:rPr>
            </w:r>
            <w:r>
              <w:rPr>
                <w:sz w:val="20"/>
              </w:rPr>
              <w:t>0.4954</w:t>
            </w:r>
          </w:p>
        </w:tc>
        <w:tc>
          <w:tcPr>
            <w:tcW w:type="dxa" w:w="1212"/>
          </w:tcPr>
          <w:p>
            <w:pPr>
              <w:spacing w:line="240" w:lineRule="auto"/>
            </w:pPr>
            <w:r>
              <w:rPr>
                <w:sz w:val="20"/>
              </w:rPr>
            </w:r>
            <w:r>
              <w:rPr>
                <w:sz w:val="20"/>
              </w:rPr>
              <w:t>0.2133</w:t>
            </w:r>
          </w:p>
        </w:tc>
      </w:tr>
      <w:tr>
        <w:tc>
          <w:tcPr>
            <w:tcW w:type="dxa" w:w="1212"/>
          </w:tcPr>
          <w:p>
            <w:pPr>
              <w:spacing w:line="240" w:lineRule="auto"/>
            </w:pPr>
            <w:r>
              <w:rPr>
                <w:sz w:val="20"/>
              </w:rPr>
            </w:r>
            <w:r>
              <w:rPr>
                <w:sz w:val="20"/>
              </w:rPr>
              <w:t>XGBoost</w:t>
            </w:r>
          </w:p>
        </w:tc>
        <w:tc>
          <w:tcPr>
            <w:tcW w:type="dxa" w:w="1212"/>
          </w:tcPr>
          <w:p>
            <w:pPr>
              <w:spacing w:line="240" w:lineRule="auto"/>
            </w:pPr>
            <w:r>
              <w:rPr>
                <w:sz w:val="20"/>
              </w:rPr>
            </w:r>
            <w:r>
              <w:rPr>
                <w:sz w:val="20"/>
              </w:rPr>
              <w:t>0.6997 ± 0.0024</w:t>
            </w:r>
          </w:p>
        </w:tc>
        <w:tc>
          <w:tcPr>
            <w:tcW w:type="dxa" w:w="1212"/>
          </w:tcPr>
          <w:p>
            <w:pPr>
              <w:spacing w:line="240" w:lineRule="auto"/>
            </w:pPr>
            <w:r>
              <w:rPr>
                <w:sz w:val="20"/>
              </w:rPr>
            </w:r>
            <w:r>
              <w:rPr>
                <w:sz w:val="20"/>
              </w:rPr>
              <w:t>0.7045</w:t>
            </w:r>
          </w:p>
        </w:tc>
        <w:tc>
          <w:tcPr>
            <w:tcW w:type="dxa" w:w="1212"/>
          </w:tcPr>
          <w:p>
            <w:pPr>
              <w:spacing w:line="240" w:lineRule="auto"/>
            </w:pPr>
            <w:r>
              <w:rPr>
                <w:sz w:val="20"/>
              </w:rPr>
            </w:r>
            <w:r>
              <w:rPr>
                <w:sz w:val="20"/>
              </w:rPr>
              <w:t>0.4554</w:t>
            </w:r>
          </w:p>
        </w:tc>
        <w:tc>
          <w:tcPr>
            <w:tcW w:type="dxa" w:w="1212"/>
          </w:tcPr>
          <w:p>
            <w:pPr>
              <w:spacing w:line="240" w:lineRule="auto"/>
            </w:pPr>
            <w:r>
              <w:rPr>
                <w:sz w:val="20"/>
              </w:rPr>
            </w:r>
            <w:r>
              <w:rPr>
                <w:sz w:val="20"/>
              </w:rPr>
              <w:t>0.4939</w:t>
            </w:r>
          </w:p>
        </w:tc>
        <w:tc>
          <w:tcPr>
            <w:tcW w:type="dxa" w:w="1212"/>
          </w:tcPr>
          <w:p>
            <w:pPr>
              <w:spacing w:line="240" w:lineRule="auto"/>
            </w:pPr>
            <w:r>
              <w:rPr>
                <w:sz w:val="20"/>
              </w:rPr>
            </w:r>
            <w:r>
              <w:rPr>
                <w:sz w:val="20"/>
              </w:rPr>
              <w:t>0.2155</w:t>
            </w:r>
          </w:p>
        </w:tc>
      </w:tr>
      <w:tr>
        <w:tc>
          <w:tcPr>
            <w:tcW w:type="dxa" w:w="1212"/>
          </w:tcPr>
          <w:p>
            <w:pPr>
              <w:spacing w:line="240" w:lineRule="auto"/>
            </w:pPr>
            <w:r>
              <w:rPr>
                <w:sz w:val="20"/>
              </w:rPr>
            </w:r>
            <w:r>
              <w:rPr>
                <w:sz w:val="20"/>
              </w:rPr>
              <w:t>Logistic Regression</w:t>
            </w:r>
          </w:p>
        </w:tc>
        <w:tc>
          <w:tcPr>
            <w:tcW w:type="dxa" w:w="1212"/>
          </w:tcPr>
          <w:p>
            <w:pPr>
              <w:spacing w:line="240" w:lineRule="auto"/>
            </w:pPr>
            <w:r>
              <w:rPr>
                <w:sz w:val="20"/>
              </w:rPr>
            </w:r>
            <w:r>
              <w:rPr>
                <w:sz w:val="20"/>
              </w:rPr>
              <w:t>0.6058 ± 0.0025</w:t>
            </w:r>
          </w:p>
        </w:tc>
        <w:tc>
          <w:tcPr>
            <w:tcW w:type="dxa" w:w="1212"/>
          </w:tcPr>
          <w:p>
            <w:pPr>
              <w:spacing w:line="240" w:lineRule="auto"/>
            </w:pPr>
            <w:r>
              <w:rPr>
                <w:sz w:val="20"/>
              </w:rPr>
            </w:r>
            <w:r>
              <w:rPr>
                <w:sz w:val="20"/>
              </w:rPr>
              <w:t>0.6020</w:t>
            </w:r>
          </w:p>
        </w:tc>
        <w:tc>
          <w:tcPr>
            <w:tcW w:type="dxa" w:w="1212"/>
          </w:tcPr>
          <w:p>
            <w:pPr>
              <w:spacing w:line="240" w:lineRule="auto"/>
            </w:pPr>
            <w:r>
              <w:rPr>
                <w:sz w:val="20"/>
              </w:rPr>
            </w:r>
            <w:r>
              <w:rPr>
                <w:sz w:val="20"/>
              </w:rPr>
              <w:t>0.3400</w:t>
            </w:r>
          </w:p>
        </w:tc>
        <w:tc>
          <w:tcPr>
            <w:tcW w:type="dxa" w:w="1212"/>
          </w:tcPr>
          <w:p>
            <w:pPr>
              <w:spacing w:line="240" w:lineRule="auto"/>
            </w:pPr>
            <w:r>
              <w:rPr>
                <w:sz w:val="20"/>
              </w:rPr>
            </w:r>
            <w:r>
              <w:rPr>
                <w:sz w:val="20"/>
              </w:rPr>
              <w:t>0.4165</w:t>
            </w:r>
          </w:p>
        </w:tc>
        <w:tc>
          <w:tcPr>
            <w:tcW w:type="dxa" w:w="1212"/>
          </w:tcPr>
          <w:p>
            <w:pPr>
              <w:spacing w:line="240" w:lineRule="auto"/>
            </w:pPr>
            <w:r>
              <w:rPr>
                <w:sz w:val="20"/>
              </w:rPr>
            </w:r>
            <w:r>
              <w:rPr>
                <w:sz w:val="20"/>
              </w:rPr>
              <w:t>0.2418</w:t>
            </w:r>
          </w:p>
        </w:tc>
      </w:tr>
    </w:tbl>
    <w:p/>
    <w:p>
      <w:r>
        <w:t xml:space="preserve">트리 앙상블 3종은 서로 통계적으로 동률(ΔAUC&lt;0.006)이며, 선형 모형 대비 ROC-AUC를 약 0.10 향상시켰다. 이는 예측 관계에 상당한 </w:t>
      </w:r>
      <w:r>
        <w:rPr>
          <w:b/>
        </w:rPr>
        <w:t>비선형·상호작용 구조</w:t>
      </w:r>
      <w:r>
        <w:t>가 존재함을 뜻한다. PR-AUC(무작위 기준 0.266) 대비 0.45–0.46 수준으로, 불균형을 고려할 때 실무적 스크리닝에 활용 가능한 판별력이다.</w:t>
      </w:r>
    </w:p>
    <w:p>
      <w:r>
        <w:t xml:space="preserve">ROC-AUC 0.70~0.71은 기술이전처럼 다수의 미관측 요인(협상·시장 수요·기관 전략)이 개입하는 사회과학적 성과 예측에서 실무적으로 유의미한 판별력에 해당한다. 특히 양성 비율이 26.6%인 클래스 불균형 상황에서는 정확도(accuracy)보다 PR-AUC가 실질 가치를 반영하는데, 본 모형의 PR-AUC 0.45–0.46은 무작위 기준(0.266) 대비 </w:t>
      </w:r>
      <w:r>
        <w:rPr>
          <w:b/>
        </w:rPr>
        <w:t>약 1.7배</w:t>
      </w:r>
      <w:r>
        <w:t xml:space="preserve">로, 이전 유망 특허를 예측 점수 상위 구간에 집중시키는 능력이 유의함을 뜻한다. 이는 기술이전 전담조직(TLO)이 전체 특허를 전수 검토하는 대신 </w:t>
      </w:r>
      <w:r>
        <w:rPr>
          <w:b/>
        </w:rPr>
        <w:t>예측 점수 상위 X%만 우선 집중관리</w:t>
      </w:r>
      <w:r>
        <w:t>하는 스크리닝 전략으로 직접 활용될 수 있다. 예컨대 상위 점수 구간의 정밀도가 기저 발생률(26.6%)을 크게 상회하면, 제한된 마케팅·상담 자원을 이전 가능성이 높은 특허에 선별 투입해 이전 성사율을 높일 수 있다. 이러한 AUC 수준은 결과가 본질적으로 불확실한 유사 도메인의 불균형 이진 분류 — 의료 예후 예측이나 금융 부실·사기 탐지에서 통상 보고되는 AUC 0.70 전후 — 와도 부합하는 합리적 성능이다.</w:t>
      </w:r>
    </w:p>
    <w:p>
      <w:r>
        <w:rPr>
          <w:b/>
        </w:rPr>
        <w:t>[Figure 1 삽입 위치]</w:t>
      </w:r>
      <w:r>
        <w:rPr>
          <w:i/>
        </w:rPr>
        <w:t xml:space="preserve">  ROC and precision–recall (PR) curves for the four classifiers on the held-out test set (N = 31,105).</w:t>
      </w:r>
    </w:p>
    <w:p>
      <w:pPr>
        <w:pStyle w:val="Heading2"/>
      </w:pPr>
      <w:r>
        <w:t>5.3 SHAP 해석 (표: shap_importance.csv, 그림: shap_beeswarm/bar/dependence.png)</w:t>
      </w:r>
    </w:p>
    <w:p>
      <w:r>
        <w:t>전역 중요도(mean |SHAP|, 기여도%)는 다음과 같다.</w:t>
      </w:r>
    </w:p>
    <w:tbl>
      <w:tblPr>
        <w:tblStyle w:val="TableGrid"/>
        <w:tblW w:type="auto" w:w="0"/>
        <w:tblLayout w:type="autofit"/>
        <w:tblLook w:firstColumn="1" w:firstRow="1" w:lastColumn="0" w:lastRow="0" w:noHBand="0" w:noVBand="1" w:val="04A0"/>
      </w:tblPr>
      <w:tblGrid>
        <w:gridCol w:w="2424"/>
        <w:gridCol w:w="2424"/>
        <w:gridCol w:w="2424"/>
      </w:tblGrid>
      <w:tr>
        <w:tc>
          <w:tcPr>
            <w:tcW w:type="dxa" w:w="2424"/>
          </w:tcPr>
          <w:p>
            <w:pPr>
              <w:spacing w:line="240" w:lineRule="auto"/>
            </w:pPr>
            <w:r>
              <w:rPr>
                <w:b/>
                <w:sz w:val="20"/>
              </w:rPr>
            </w:r>
            <w:r>
              <w:rPr>
                <w:b/>
                <w:sz w:val="20"/>
              </w:rPr>
              <w:t>순위</w:t>
            </w:r>
          </w:p>
        </w:tc>
        <w:tc>
          <w:tcPr>
            <w:tcW w:type="dxa" w:w="2424"/>
          </w:tcPr>
          <w:p>
            <w:pPr>
              <w:spacing w:line="240" w:lineRule="auto"/>
            </w:pPr>
            <w:r>
              <w:rPr>
                <w:b/>
                <w:sz w:val="20"/>
              </w:rPr>
            </w:r>
            <w:r>
              <w:rPr>
                <w:b/>
                <w:sz w:val="20"/>
              </w:rPr>
              <w:t>변수</w:t>
            </w:r>
          </w:p>
        </w:tc>
        <w:tc>
          <w:tcPr>
            <w:tcW w:type="dxa" w:w="2424"/>
          </w:tcPr>
          <w:p>
            <w:pPr>
              <w:spacing w:line="240" w:lineRule="auto"/>
            </w:pPr>
            <w:r>
              <w:rPr>
                <w:b/>
                <w:sz w:val="20"/>
              </w:rPr>
            </w:r>
            <w:r>
              <w:rPr>
                <w:b/>
                <w:sz w:val="20"/>
              </w:rPr>
              <w:t>기여도%</w:t>
            </w:r>
          </w:p>
        </w:tc>
      </w:tr>
      <w:tr>
        <w:tc>
          <w:tcPr>
            <w:tcW w:type="dxa" w:w="2424"/>
          </w:tcPr>
          <w:p>
            <w:pPr>
              <w:spacing w:line="240" w:lineRule="auto"/>
            </w:pPr>
            <w:r>
              <w:rPr>
                <w:sz w:val="20"/>
              </w:rPr>
            </w:r>
            <w:r>
              <w:rPr>
                <w:sz w:val="20"/>
              </w:rPr>
              <w:t>1</w:t>
            </w:r>
          </w:p>
        </w:tc>
        <w:tc>
          <w:tcPr>
            <w:tcW w:type="dxa" w:w="2424"/>
          </w:tcPr>
          <w:p>
            <w:pPr>
              <w:spacing w:line="240" w:lineRule="auto"/>
            </w:pPr>
            <w:r>
              <w:rPr>
                <w:sz w:val="20"/>
              </w:rPr>
            </w:r>
            <w:r>
              <w:rPr>
                <w:sz w:val="20"/>
              </w:rPr>
              <w:t>등록연도</w:t>
            </w:r>
          </w:p>
        </w:tc>
        <w:tc>
          <w:tcPr>
            <w:tcW w:type="dxa" w:w="2424"/>
          </w:tcPr>
          <w:p>
            <w:pPr>
              <w:spacing w:line="240" w:lineRule="auto"/>
            </w:pPr>
            <w:r>
              <w:rPr>
                <w:sz w:val="20"/>
              </w:rPr>
            </w:r>
            <w:r>
              <w:rPr>
                <w:sz w:val="20"/>
              </w:rPr>
              <w:t>21.2</w:t>
            </w:r>
          </w:p>
        </w:tc>
      </w:tr>
      <w:tr>
        <w:tc>
          <w:tcPr>
            <w:tcW w:type="dxa" w:w="2424"/>
          </w:tcPr>
          <w:p>
            <w:pPr>
              <w:spacing w:line="240" w:lineRule="auto"/>
            </w:pPr>
            <w:r>
              <w:rPr>
                <w:sz w:val="20"/>
              </w:rPr>
            </w:r>
            <w:r>
              <w:rPr>
                <w:sz w:val="20"/>
              </w:rPr>
              <w:t>2</w:t>
            </w:r>
          </w:p>
        </w:tc>
        <w:tc>
          <w:tcPr>
            <w:tcW w:type="dxa" w:w="2424"/>
          </w:tcPr>
          <w:p>
            <w:pPr>
              <w:spacing w:line="240" w:lineRule="auto"/>
            </w:pPr>
            <w:r>
              <w:rPr>
                <w:sz w:val="20"/>
              </w:rPr>
            </w:r>
            <w:r>
              <w:rPr>
                <w:sz w:val="20"/>
              </w:rPr>
              <w:t>특허연령(월)</w:t>
            </w:r>
          </w:p>
        </w:tc>
        <w:tc>
          <w:tcPr>
            <w:tcW w:type="dxa" w:w="2424"/>
          </w:tcPr>
          <w:p>
            <w:pPr>
              <w:spacing w:line="240" w:lineRule="auto"/>
            </w:pPr>
            <w:r>
              <w:rPr>
                <w:sz w:val="20"/>
              </w:rPr>
            </w:r>
            <w:r>
              <w:rPr>
                <w:sz w:val="20"/>
              </w:rPr>
              <w:t>8.2</w:t>
            </w:r>
          </w:p>
        </w:tc>
      </w:tr>
      <w:tr>
        <w:tc>
          <w:tcPr>
            <w:tcW w:type="dxa" w:w="2424"/>
          </w:tcPr>
          <w:p>
            <w:pPr>
              <w:spacing w:line="240" w:lineRule="auto"/>
            </w:pPr>
            <w:r>
              <w:rPr>
                <w:sz w:val="20"/>
              </w:rPr>
            </w:r>
            <w:r>
              <w:rPr>
                <w:sz w:val="20"/>
              </w:rPr>
              <w:t>3</w:t>
            </w:r>
          </w:p>
        </w:tc>
        <w:tc>
          <w:tcPr>
            <w:tcW w:type="dxa" w:w="2424"/>
          </w:tcPr>
          <w:p>
            <w:pPr>
              <w:spacing w:line="240" w:lineRule="auto"/>
            </w:pPr>
            <w:r>
              <w:rPr>
                <w:sz w:val="20"/>
              </w:rPr>
            </w:r>
            <w:r>
              <w:rPr>
                <w:sz w:val="20"/>
              </w:rPr>
              <w:t>부처유형=교육부계</w:t>
            </w:r>
          </w:p>
        </w:tc>
        <w:tc>
          <w:tcPr>
            <w:tcW w:type="dxa" w:w="2424"/>
          </w:tcPr>
          <w:p>
            <w:pPr>
              <w:spacing w:line="240" w:lineRule="auto"/>
            </w:pPr>
            <w:r>
              <w:rPr>
                <w:sz w:val="20"/>
              </w:rPr>
            </w:r>
            <w:r>
              <w:rPr>
                <w:sz w:val="20"/>
              </w:rPr>
              <w:t>7.1</w:t>
            </w:r>
          </w:p>
        </w:tc>
      </w:tr>
      <w:tr>
        <w:tc>
          <w:tcPr>
            <w:tcW w:type="dxa" w:w="2424"/>
          </w:tcPr>
          <w:p>
            <w:pPr>
              <w:spacing w:line="240" w:lineRule="auto"/>
            </w:pPr>
            <w:r>
              <w:rPr>
                <w:sz w:val="20"/>
              </w:rPr>
            </w:r>
            <w:r>
              <w:rPr>
                <w:sz w:val="20"/>
              </w:rPr>
              <w:t>4</w:t>
            </w:r>
          </w:p>
        </w:tc>
        <w:tc>
          <w:tcPr>
            <w:tcW w:type="dxa" w:w="2424"/>
          </w:tcPr>
          <w:p>
            <w:pPr>
              <w:spacing w:line="240" w:lineRule="auto"/>
            </w:pPr>
            <w:r>
              <w:rPr>
                <w:sz w:val="20"/>
              </w:rPr>
            </w:r>
            <w:r>
              <w:rPr>
                <w:sz w:val="20"/>
              </w:rPr>
              <w:t>기관유형=대학</w:t>
            </w:r>
          </w:p>
        </w:tc>
        <w:tc>
          <w:tcPr>
            <w:tcW w:type="dxa" w:w="2424"/>
          </w:tcPr>
          <w:p>
            <w:pPr>
              <w:spacing w:line="240" w:lineRule="auto"/>
            </w:pPr>
            <w:r>
              <w:rPr>
                <w:sz w:val="20"/>
              </w:rPr>
            </w:r>
            <w:r>
              <w:rPr>
                <w:sz w:val="20"/>
              </w:rPr>
              <w:t>6.2</w:t>
            </w:r>
          </w:p>
        </w:tc>
      </w:tr>
      <w:tr>
        <w:tc>
          <w:tcPr>
            <w:tcW w:type="dxa" w:w="2424"/>
          </w:tcPr>
          <w:p>
            <w:pPr>
              <w:spacing w:line="240" w:lineRule="auto"/>
            </w:pPr>
            <w:r>
              <w:rPr>
                <w:sz w:val="20"/>
              </w:rPr>
            </w:r>
            <w:r>
              <w:rPr>
                <w:sz w:val="20"/>
              </w:rPr>
              <w:t>5</w:t>
            </w:r>
          </w:p>
        </w:tc>
        <w:tc>
          <w:tcPr>
            <w:tcW w:type="dxa" w:w="2424"/>
          </w:tcPr>
          <w:p>
            <w:pPr>
              <w:spacing w:line="240" w:lineRule="auto"/>
            </w:pPr>
            <w:r>
              <w:rPr>
                <w:sz w:val="20"/>
              </w:rPr>
            </w:r>
            <w:r>
              <w:rPr>
                <w:sz w:val="20"/>
              </w:rPr>
              <w:t>부처유형=과기부계</w:t>
            </w:r>
          </w:p>
        </w:tc>
        <w:tc>
          <w:tcPr>
            <w:tcW w:type="dxa" w:w="2424"/>
          </w:tcPr>
          <w:p>
            <w:pPr>
              <w:spacing w:line="240" w:lineRule="auto"/>
            </w:pPr>
            <w:r>
              <w:rPr>
                <w:sz w:val="20"/>
              </w:rPr>
            </w:r>
            <w:r>
              <w:rPr>
                <w:sz w:val="20"/>
              </w:rPr>
              <w:t>6.0</w:t>
            </w:r>
          </w:p>
        </w:tc>
      </w:tr>
      <w:tr>
        <w:tc>
          <w:tcPr>
            <w:tcW w:type="dxa" w:w="2424"/>
          </w:tcPr>
          <w:p>
            <w:pPr>
              <w:spacing w:line="240" w:lineRule="auto"/>
            </w:pPr>
            <w:r>
              <w:rPr>
                <w:sz w:val="20"/>
              </w:rPr>
            </w:r>
            <w:r>
              <w:rPr>
                <w:sz w:val="20"/>
              </w:rPr>
              <w:t>6</w:t>
            </w:r>
          </w:p>
        </w:tc>
        <w:tc>
          <w:tcPr>
            <w:tcW w:type="dxa" w:w="2424"/>
          </w:tcPr>
          <w:p>
            <w:pPr>
              <w:spacing w:line="240" w:lineRule="auto"/>
            </w:pPr>
            <w:r>
              <w:rPr>
                <w:sz w:val="20"/>
              </w:rPr>
            </w:r>
            <w:r>
              <w:rPr>
                <w:sz w:val="20"/>
              </w:rPr>
              <w:t>출원일자 결측</w:t>
            </w:r>
          </w:p>
        </w:tc>
        <w:tc>
          <w:tcPr>
            <w:tcW w:type="dxa" w:w="2424"/>
          </w:tcPr>
          <w:p>
            <w:pPr>
              <w:spacing w:line="240" w:lineRule="auto"/>
            </w:pPr>
            <w:r>
              <w:rPr>
                <w:sz w:val="20"/>
              </w:rPr>
            </w:r>
            <w:r>
              <w:rPr>
                <w:sz w:val="20"/>
              </w:rPr>
              <w:t>5.3</w:t>
            </w:r>
          </w:p>
        </w:tc>
      </w:tr>
      <w:tr>
        <w:tc>
          <w:tcPr>
            <w:tcW w:type="dxa" w:w="2424"/>
          </w:tcPr>
          <w:p>
            <w:pPr>
              <w:spacing w:line="240" w:lineRule="auto"/>
            </w:pPr>
            <w:r>
              <w:rPr>
                <w:sz w:val="20"/>
              </w:rPr>
            </w:r>
            <w:r>
              <w:rPr>
                <w:sz w:val="20"/>
              </w:rPr>
              <w:t>7</w:t>
            </w:r>
          </w:p>
        </w:tc>
        <w:tc>
          <w:tcPr>
            <w:tcW w:type="dxa" w:w="2424"/>
          </w:tcPr>
          <w:p>
            <w:pPr>
              <w:spacing w:line="240" w:lineRule="auto"/>
            </w:pPr>
            <w:r>
              <w:rPr>
                <w:sz w:val="20"/>
              </w:rPr>
            </w:r>
            <w:r>
              <w:rPr>
                <w:sz w:val="20"/>
              </w:rPr>
              <w:t>독립 청구항 수</w:t>
            </w:r>
          </w:p>
        </w:tc>
        <w:tc>
          <w:tcPr>
            <w:tcW w:type="dxa" w:w="2424"/>
          </w:tcPr>
          <w:p>
            <w:pPr>
              <w:spacing w:line="240" w:lineRule="auto"/>
            </w:pPr>
            <w:r>
              <w:rPr>
                <w:sz w:val="20"/>
              </w:rPr>
            </w:r>
            <w:r>
              <w:rPr>
                <w:sz w:val="20"/>
              </w:rPr>
              <w:t>4.5</w:t>
            </w:r>
          </w:p>
        </w:tc>
      </w:tr>
      <w:tr>
        <w:tc>
          <w:tcPr>
            <w:tcW w:type="dxa" w:w="2424"/>
          </w:tcPr>
          <w:p>
            <w:pPr>
              <w:spacing w:line="240" w:lineRule="auto"/>
            </w:pPr>
            <w:r>
              <w:rPr>
                <w:sz w:val="20"/>
              </w:rPr>
            </w:r>
            <w:r>
              <w:rPr>
                <w:sz w:val="20"/>
              </w:rPr>
              <w:t>8</w:t>
            </w:r>
          </w:p>
        </w:tc>
        <w:tc>
          <w:tcPr>
            <w:tcW w:type="dxa" w:w="2424"/>
          </w:tcPr>
          <w:p>
            <w:pPr>
              <w:spacing w:line="240" w:lineRule="auto"/>
            </w:pPr>
            <w:r>
              <w:rPr>
                <w:sz w:val="20"/>
              </w:rPr>
            </w:r>
            <w:r>
              <w:rPr>
                <w:sz w:val="20"/>
              </w:rPr>
              <w:t>청구항 수</w:t>
            </w:r>
          </w:p>
        </w:tc>
        <w:tc>
          <w:tcPr>
            <w:tcW w:type="dxa" w:w="2424"/>
          </w:tcPr>
          <w:p>
            <w:pPr>
              <w:spacing w:line="240" w:lineRule="auto"/>
            </w:pPr>
            <w:r>
              <w:rPr>
                <w:sz w:val="20"/>
              </w:rPr>
            </w:r>
            <w:r>
              <w:rPr>
                <w:sz w:val="20"/>
              </w:rPr>
              <w:t>4.5</w:t>
            </w:r>
          </w:p>
        </w:tc>
      </w:tr>
      <w:tr>
        <w:tc>
          <w:tcPr>
            <w:tcW w:type="dxa" w:w="2424"/>
          </w:tcPr>
          <w:p>
            <w:pPr>
              <w:spacing w:line="240" w:lineRule="auto"/>
            </w:pPr>
            <w:r>
              <w:rPr>
                <w:sz w:val="20"/>
              </w:rPr>
            </w:r>
            <w:r>
              <w:rPr>
                <w:sz w:val="20"/>
              </w:rPr>
              <w:t>9</w:t>
            </w:r>
          </w:p>
        </w:tc>
        <w:tc>
          <w:tcPr>
            <w:tcW w:type="dxa" w:w="2424"/>
          </w:tcPr>
          <w:p>
            <w:pPr>
              <w:spacing w:line="240" w:lineRule="auto"/>
            </w:pPr>
            <w:r>
              <w:rPr>
                <w:sz w:val="20"/>
              </w:rPr>
            </w:r>
            <w:r>
              <w:rPr>
                <w:sz w:val="20"/>
              </w:rPr>
              <w:t>발명자 수</w:t>
            </w:r>
          </w:p>
        </w:tc>
        <w:tc>
          <w:tcPr>
            <w:tcW w:type="dxa" w:w="2424"/>
          </w:tcPr>
          <w:p>
            <w:pPr>
              <w:spacing w:line="240" w:lineRule="auto"/>
            </w:pPr>
            <w:r>
              <w:rPr>
                <w:sz w:val="20"/>
              </w:rPr>
            </w:r>
            <w:r>
              <w:rPr>
                <w:sz w:val="20"/>
              </w:rPr>
              <w:t>4.2</w:t>
            </w:r>
          </w:p>
        </w:tc>
      </w:tr>
      <w:tr>
        <w:tc>
          <w:tcPr>
            <w:tcW w:type="dxa" w:w="2424"/>
          </w:tcPr>
          <w:p>
            <w:pPr>
              <w:spacing w:line="240" w:lineRule="auto"/>
            </w:pPr>
            <w:r>
              <w:rPr>
                <w:sz w:val="20"/>
              </w:rPr>
            </w:r>
            <w:r>
              <w:rPr>
                <w:sz w:val="20"/>
              </w:rPr>
              <w:t>10</w:t>
            </w:r>
          </w:p>
        </w:tc>
        <w:tc>
          <w:tcPr>
            <w:tcW w:type="dxa" w:w="2424"/>
          </w:tcPr>
          <w:p>
            <w:pPr>
              <w:spacing w:line="240" w:lineRule="auto"/>
            </w:pPr>
            <w:r>
              <w:rPr>
                <w:sz w:val="20"/>
              </w:rPr>
            </w:r>
            <w:r>
              <w:rPr>
                <w:sz w:val="20"/>
              </w:rPr>
              <w:t>기관유형=출연연</w:t>
            </w:r>
          </w:p>
        </w:tc>
        <w:tc>
          <w:tcPr>
            <w:tcW w:type="dxa" w:w="2424"/>
          </w:tcPr>
          <w:p>
            <w:pPr>
              <w:spacing w:line="240" w:lineRule="auto"/>
            </w:pPr>
            <w:r>
              <w:rPr>
                <w:sz w:val="20"/>
              </w:rPr>
            </w:r>
            <w:r>
              <w:rPr>
                <w:sz w:val="20"/>
              </w:rPr>
              <w:t>3.6</w:t>
            </w:r>
          </w:p>
        </w:tc>
      </w:tr>
    </w:tbl>
    <w:p/>
    <w:p>
      <w:r>
        <w:t xml:space="preserve">예측력은 세 층위로 배분된다. (i) </w:t>
      </w:r>
      <w:r>
        <w:rPr>
          <w:b/>
        </w:rPr>
        <w:t>시간·행정 맥락</w:t>
      </w:r>
      <w:r>
        <w:t xml:space="preserve">(등록연도 21.2% + 특허연령 8.2% ≈ 30%)이 최상위이며, 이는 오래된 특허일수록 이전 기회에 더 오래 노출된 </w:t>
      </w:r>
      <w:r>
        <w:rPr>
          <w:b/>
        </w:rPr>
        <w:t>관측창/중도절단</w:t>
      </w:r>
      <w:r>
        <w:t xml:space="preserve"> 구조를 반영한다. (ii) </w:t>
      </w:r>
      <w:r>
        <w:rPr>
          <w:b/>
        </w:rPr>
        <w:t>정책·기관 맥락</w:t>
      </w:r>
      <w:r>
        <w:t xml:space="preserve">(부처·기관유형 관련 항목 합계 약 25%)이 두 번째 층으로, 개별 품질 지표 대부분보다 상위에 위치한다. (iii) </w:t>
      </w:r>
      <w:r>
        <w:rPr>
          <w:b/>
        </w:rPr>
        <w:t>특허 자체 품질</w:t>
      </w:r>
      <w:r>
        <w:t>(청구항·발명자 수)은 세 번째 층으로 각 4–5% 수준이며, 패밀리·인용 지표는 하위(&lt;2%)에 머물렀다.</w:t>
      </w:r>
    </w:p>
    <w:p>
      <w:r>
        <w:rPr>
          <w:b/>
        </w:rPr>
        <w:t>[Figure 2 삽입 위치]</w:t>
      </w:r>
      <w:r>
        <w:rPr>
          <w:i/>
        </w:rPr>
        <w:t xml:space="preserve">  SHAP beeswarm summary for the XGBoost model, showing the distribution and direction of per-feature contributions to predicted royalty occurrence on the test set (N = 31,105).</w:t>
      </w:r>
    </w:p>
    <w:p>
      <w:r>
        <w:rPr>
          <w:b/>
        </w:rPr>
        <w:t>[Figure 3 삽입 위치]</w:t>
      </w:r>
      <w:r>
        <w:rPr>
          <w:i/>
        </w:rPr>
        <w:t xml:space="preserve">  SHAP global feature importance (mean |SHAP|) for the top predictors of royalty occurrence.</w:t>
      </w:r>
    </w:p>
    <w:p>
      <w:pPr>
        <w:pStyle w:val="Heading2"/>
      </w:pPr>
      <w:r>
        <w:t>5.4 강건성 (표: robustness_*.csv, 그림: robustness_*.png)</w:t>
      </w:r>
    </w:p>
    <w:p>
      <w:r>
        <w:t xml:space="preserve">하위집단 성능은 안정적이었다: 등록연도별 ROC-AUC 0.667–0.726, 기관유형별 0.672–0.752로 전체(0.7045) 주변에서 좁게 변동했다. 그러나 </w:t>
      </w:r>
      <w:r>
        <w:rPr>
          <w:b/>
        </w:rPr>
        <w:t>시계열 외삽</w:t>
      </w:r>
      <w:r>
        <w:t>에서는 성능이 크게 하락했다(≤2019 학습→0.598, ≤2020→0.597, ≤2021→0.614). 무작위 분할 대비 AUC가 약 0.10 낮아, 모형이 의존하는 시간 관련 신호가 미래로 일반화되지 않음을 보여준다.</w:t>
      </w:r>
    </w:p>
    <w:p>
      <w:r>
        <w:rPr>
          <w:b/>
        </w:rPr>
        <w:t>[Figure 4 삽입 위치]</w:t>
      </w:r>
      <w:r>
        <w:rPr>
          <w:i/>
        </w:rPr>
        <w:t xml:space="preserve">  Subgroup robustness of ROC-AUC across registration years and institution types (XGBoost, test set).</w:t>
      </w:r>
    </w:p>
    <w:p>
      <w:pPr>
        <w:pStyle w:val="Heading2"/>
      </w:pPr>
      <w:r>
        <w:t>5.5 민감도 분석 — 등록연도 제외 (표: sensitivity_registration_year.csv, 그림: sensitivity_registration_year.png)</w:t>
      </w:r>
    </w:p>
    <w:p>
      <w:r>
        <w:t>등록연도가 SHAP 최상위(21.2%)를 차지하는 것이 관측창 중도절단의 인위적 결과인지 검증하기 위해, 등록연도를 제거하고 동일 분할로 4개 모형을 재학습했다.</w:t>
      </w:r>
    </w:p>
    <w:tbl>
      <w:tblPr>
        <w:tblStyle w:val="TableGrid"/>
        <w:tblW w:type="auto" w:w="0"/>
        <w:tblLayout w:type="autofit"/>
        <w:tblLook w:firstColumn="1" w:firstRow="1" w:lastColumn="0" w:lastRow="0" w:noHBand="0" w:noVBand="1" w:val="04A0"/>
      </w:tblPr>
      <w:tblGrid>
        <w:gridCol w:w="1818"/>
        <w:gridCol w:w="1818"/>
        <w:gridCol w:w="1818"/>
        <w:gridCol w:w="1818"/>
      </w:tblGrid>
      <w:tr>
        <w:tc>
          <w:tcPr>
            <w:tcW w:type="dxa" w:w="1818"/>
          </w:tcPr>
          <w:p>
            <w:pPr>
              <w:spacing w:line="240" w:lineRule="auto"/>
            </w:pPr>
            <w:r>
              <w:rPr>
                <w:b/>
                <w:sz w:val="20"/>
              </w:rPr>
            </w:r>
            <w:r>
              <w:rPr>
                <w:b/>
                <w:sz w:val="20"/>
              </w:rPr>
              <w:t>모델</w:t>
            </w:r>
          </w:p>
        </w:tc>
        <w:tc>
          <w:tcPr>
            <w:tcW w:type="dxa" w:w="1818"/>
          </w:tcPr>
          <w:p>
            <w:pPr>
              <w:spacing w:line="240" w:lineRule="auto"/>
            </w:pPr>
            <w:r>
              <w:rPr>
                <w:b/>
                <w:sz w:val="20"/>
              </w:rPr>
            </w:r>
            <w:r>
              <w:rPr>
                <w:b/>
                <w:sz w:val="20"/>
              </w:rPr>
              <w:t>Test AUC (원본)</w:t>
            </w:r>
          </w:p>
        </w:tc>
        <w:tc>
          <w:tcPr>
            <w:tcW w:type="dxa" w:w="1818"/>
          </w:tcPr>
          <w:p>
            <w:pPr>
              <w:spacing w:line="240" w:lineRule="auto"/>
            </w:pPr>
            <w:r>
              <w:rPr>
                <w:b/>
                <w:sz w:val="20"/>
              </w:rPr>
            </w:r>
            <w:r>
              <w:rPr>
                <w:b/>
                <w:sz w:val="20"/>
              </w:rPr>
              <w:t>Test AUC (등록연도 제외)</w:t>
            </w:r>
          </w:p>
        </w:tc>
        <w:tc>
          <w:tcPr>
            <w:tcW w:type="dxa" w:w="1818"/>
          </w:tcPr>
          <w:p>
            <w:pPr>
              <w:spacing w:line="240" w:lineRule="auto"/>
            </w:pPr>
            <w:r>
              <w:rPr>
                <w:b/>
                <w:sz w:val="20"/>
              </w:rPr>
            </w:r>
            <w:r>
              <w:rPr>
                <w:b/>
                <w:sz w:val="20"/>
              </w:rPr>
              <w:t>ΔAUC</w:t>
            </w:r>
          </w:p>
        </w:tc>
      </w:tr>
      <w:tr>
        <w:tc>
          <w:tcPr>
            <w:tcW w:type="dxa" w:w="1818"/>
          </w:tcPr>
          <w:p>
            <w:pPr>
              <w:spacing w:line="240" w:lineRule="auto"/>
            </w:pPr>
            <w:r>
              <w:rPr>
                <w:sz w:val="20"/>
              </w:rPr>
            </w:r>
            <w:r>
              <w:rPr>
                <w:sz w:val="20"/>
              </w:rPr>
              <w:t>Logistic Regression</w:t>
            </w:r>
          </w:p>
        </w:tc>
        <w:tc>
          <w:tcPr>
            <w:tcW w:type="dxa" w:w="1818"/>
          </w:tcPr>
          <w:p>
            <w:pPr>
              <w:spacing w:line="240" w:lineRule="auto"/>
            </w:pPr>
            <w:r>
              <w:rPr>
                <w:sz w:val="20"/>
              </w:rPr>
            </w:r>
            <w:r>
              <w:rPr>
                <w:sz w:val="20"/>
              </w:rPr>
              <w:t>0.6020</w:t>
            </w:r>
          </w:p>
        </w:tc>
        <w:tc>
          <w:tcPr>
            <w:tcW w:type="dxa" w:w="1818"/>
          </w:tcPr>
          <w:p>
            <w:pPr>
              <w:spacing w:line="240" w:lineRule="auto"/>
            </w:pPr>
            <w:r>
              <w:rPr>
                <w:sz w:val="20"/>
              </w:rPr>
            </w:r>
            <w:r>
              <w:rPr>
                <w:sz w:val="20"/>
              </w:rPr>
              <w:t>0.6021</w:t>
            </w:r>
          </w:p>
        </w:tc>
        <w:tc>
          <w:tcPr>
            <w:tcW w:type="dxa" w:w="1818"/>
          </w:tcPr>
          <w:p>
            <w:pPr>
              <w:spacing w:line="240" w:lineRule="auto"/>
            </w:pPr>
            <w:r>
              <w:rPr>
                <w:sz w:val="20"/>
              </w:rPr>
            </w:r>
            <w:r>
              <w:rPr>
                <w:sz w:val="20"/>
              </w:rPr>
              <w:t>+0.000</w:t>
            </w:r>
          </w:p>
        </w:tc>
      </w:tr>
      <w:tr>
        <w:tc>
          <w:tcPr>
            <w:tcW w:type="dxa" w:w="1818"/>
          </w:tcPr>
          <w:p>
            <w:pPr>
              <w:spacing w:line="240" w:lineRule="auto"/>
            </w:pPr>
            <w:r>
              <w:rPr>
                <w:sz w:val="20"/>
              </w:rPr>
            </w:r>
            <w:r>
              <w:rPr>
                <w:sz w:val="20"/>
              </w:rPr>
              <w:t>Random Forest</w:t>
            </w:r>
          </w:p>
        </w:tc>
        <w:tc>
          <w:tcPr>
            <w:tcW w:type="dxa" w:w="1818"/>
          </w:tcPr>
          <w:p>
            <w:pPr>
              <w:spacing w:line="240" w:lineRule="auto"/>
            </w:pPr>
            <w:r>
              <w:rPr>
                <w:sz w:val="20"/>
              </w:rPr>
            </w:r>
            <w:r>
              <w:rPr>
                <w:sz w:val="20"/>
              </w:rPr>
              <w:t>0.7104</w:t>
            </w:r>
          </w:p>
        </w:tc>
        <w:tc>
          <w:tcPr>
            <w:tcW w:type="dxa" w:w="1818"/>
          </w:tcPr>
          <w:p>
            <w:pPr>
              <w:spacing w:line="240" w:lineRule="auto"/>
            </w:pPr>
            <w:r>
              <w:rPr>
                <w:sz w:val="20"/>
              </w:rPr>
            </w:r>
            <w:r>
              <w:rPr>
                <w:sz w:val="20"/>
              </w:rPr>
              <w:t>0.6521</w:t>
            </w:r>
          </w:p>
        </w:tc>
        <w:tc>
          <w:tcPr>
            <w:tcW w:type="dxa" w:w="1818"/>
          </w:tcPr>
          <w:p>
            <w:pPr>
              <w:spacing w:line="240" w:lineRule="auto"/>
            </w:pPr>
            <w:r>
              <w:rPr>
                <w:sz w:val="20"/>
              </w:rPr>
            </w:r>
            <w:r>
              <w:rPr>
                <w:sz w:val="20"/>
              </w:rPr>
              <w:t>−0.058</w:t>
            </w:r>
          </w:p>
        </w:tc>
      </w:tr>
      <w:tr>
        <w:tc>
          <w:tcPr>
            <w:tcW w:type="dxa" w:w="1818"/>
          </w:tcPr>
          <w:p>
            <w:pPr>
              <w:spacing w:line="240" w:lineRule="auto"/>
            </w:pPr>
            <w:r>
              <w:rPr>
                <w:sz w:val="20"/>
              </w:rPr>
            </w:r>
            <w:r>
              <w:rPr>
                <w:sz w:val="20"/>
              </w:rPr>
              <w:t>XGBoost</w:t>
            </w:r>
          </w:p>
        </w:tc>
        <w:tc>
          <w:tcPr>
            <w:tcW w:type="dxa" w:w="1818"/>
          </w:tcPr>
          <w:p>
            <w:pPr>
              <w:spacing w:line="240" w:lineRule="auto"/>
            </w:pPr>
            <w:r>
              <w:rPr>
                <w:sz w:val="20"/>
              </w:rPr>
            </w:r>
            <w:r>
              <w:rPr>
                <w:sz w:val="20"/>
              </w:rPr>
              <w:t>0.7045</w:t>
            </w:r>
          </w:p>
        </w:tc>
        <w:tc>
          <w:tcPr>
            <w:tcW w:type="dxa" w:w="1818"/>
          </w:tcPr>
          <w:p>
            <w:pPr>
              <w:spacing w:line="240" w:lineRule="auto"/>
            </w:pPr>
            <w:r>
              <w:rPr>
                <w:sz w:val="20"/>
              </w:rPr>
            </w:r>
            <w:r>
              <w:rPr>
                <w:sz w:val="20"/>
              </w:rPr>
              <w:t>0.6478</w:t>
            </w:r>
          </w:p>
        </w:tc>
        <w:tc>
          <w:tcPr>
            <w:tcW w:type="dxa" w:w="1818"/>
          </w:tcPr>
          <w:p>
            <w:pPr>
              <w:spacing w:line="240" w:lineRule="auto"/>
            </w:pPr>
            <w:r>
              <w:rPr>
                <w:sz w:val="20"/>
              </w:rPr>
            </w:r>
            <w:r>
              <w:rPr>
                <w:sz w:val="20"/>
              </w:rPr>
              <w:t>−0.057</w:t>
            </w:r>
          </w:p>
        </w:tc>
      </w:tr>
      <w:tr>
        <w:tc>
          <w:tcPr>
            <w:tcW w:type="dxa" w:w="1818"/>
          </w:tcPr>
          <w:p>
            <w:pPr>
              <w:spacing w:line="240" w:lineRule="auto"/>
            </w:pPr>
            <w:r>
              <w:rPr>
                <w:sz w:val="20"/>
              </w:rPr>
            </w:r>
            <w:r>
              <w:rPr>
                <w:sz w:val="20"/>
              </w:rPr>
              <w:t>LightGBM</w:t>
            </w:r>
          </w:p>
        </w:tc>
        <w:tc>
          <w:tcPr>
            <w:tcW w:type="dxa" w:w="1818"/>
          </w:tcPr>
          <w:p>
            <w:pPr>
              <w:spacing w:line="240" w:lineRule="auto"/>
            </w:pPr>
            <w:r>
              <w:rPr>
                <w:sz w:val="20"/>
              </w:rPr>
            </w:r>
            <w:r>
              <w:rPr>
                <w:sz w:val="20"/>
              </w:rPr>
              <w:t>0.7066</w:t>
            </w:r>
          </w:p>
        </w:tc>
        <w:tc>
          <w:tcPr>
            <w:tcW w:type="dxa" w:w="1818"/>
          </w:tcPr>
          <w:p>
            <w:pPr>
              <w:spacing w:line="240" w:lineRule="auto"/>
            </w:pPr>
            <w:r>
              <w:rPr>
                <w:sz w:val="20"/>
              </w:rPr>
            </w:r>
            <w:r>
              <w:rPr>
                <w:sz w:val="20"/>
              </w:rPr>
              <w:t>0.6466</w:t>
            </w:r>
          </w:p>
        </w:tc>
        <w:tc>
          <w:tcPr>
            <w:tcW w:type="dxa" w:w="1818"/>
          </w:tcPr>
          <w:p>
            <w:pPr>
              <w:spacing w:line="240" w:lineRule="auto"/>
            </w:pPr>
            <w:r>
              <w:rPr>
                <w:sz w:val="20"/>
              </w:rPr>
            </w:r>
            <w:r>
              <w:rPr>
                <w:sz w:val="20"/>
              </w:rPr>
              <w:t>−0.060</w:t>
            </w:r>
          </w:p>
        </w:tc>
      </w:tr>
    </w:tbl>
    <w:p/>
    <w:p>
      <w:r>
        <w:t xml:space="preserve">트리 모형의 AUC는 약 0.06 하락했으나 여전히 0.65 수준을 유지했다. 즉 등록연도는 </w:t>
      </w:r>
      <w:r>
        <w:rPr>
          <w:b/>
        </w:rPr>
        <w:t>실질적 예측 신호(≈0.06 AUC)를 담되 전부는 아니며</w:t>
      </w:r>
      <w:r>
        <w:t xml:space="preserve">, 이를 제거해도 모형은 무작위(0.5)와 원본(0.71) 사이의 상당한 판별력을 유지한다. 예측이 단순히 관측기간을 학습한 아티팩트만은 아님을 시사한다. 나아가 등록연도 제외 후 SHAP 전역 중요도 상위는 </w:t>
      </w:r>
      <w:r>
        <w:rPr>
          <w:b/>
        </w:rPr>
        <w:t>부처유형=교육부계(10.0%)·특허연령(8.2%)·부처유형=과기부계(7.9%)·기관유형(출연연 5.5%·대학 4.7%)</w:t>
      </w:r>
      <w:r>
        <w:t xml:space="preserve">로 재편되어, </w:t>
      </w:r>
      <w:r>
        <w:rPr>
          <w:b/>
        </w:rPr>
        <w:t>정책·기관 맥락이 개별 특허 품질 위로 부상</w:t>
      </w:r>
      <w:r>
        <w:t>한다. 이는 H3(맥락 우위)를 오히려 강화한다.</w:t>
      </w:r>
    </w:p>
    <w:p>
      <w:pPr>
        <w:pStyle w:val="Heading1"/>
      </w:pPr>
      <w:r>
        <w:t>6. 논의 (Discussion)</w:t>
      </w:r>
    </w:p>
    <w:p>
      <w:pPr>
        <w:pStyle w:val="Heading2"/>
      </w:pPr>
      <w:r>
        <w:t>6.1 가설 검정 결론</w:t>
      </w:r>
    </w:p>
    <w:p>
      <w:pPr>
        <w:pStyle w:val="ListBullet"/>
      </w:pPr>
      <w:r>
        <w:rPr>
          <w:b/>
        </w:rPr>
        <w:t>H1 (기술적 범위):</w:t>
      </w:r>
      <w:r>
        <w:t xml:space="preserve"> </w:t>
      </w:r>
      <w:r>
        <w:rPr>
          <w:i/>
        </w:rPr>
        <w:t>부분 지지·약함.</w:t>
      </w:r>
      <w:r>
        <w:t xml:space="preserve"> 청구항 수는 유의한 양(+)의 효과를 보였지만, 효과크기는 작았으며(d≈0.10, SHAP 4–5%) IPC·패밀리 수의 효과는 무시할 수준이었다.</w:t>
      </w:r>
    </w:p>
    <w:p>
      <w:pPr>
        <w:pStyle w:val="ListBullet"/>
      </w:pPr>
      <w:r>
        <w:rPr>
          <w:b/>
        </w:rPr>
        <w:t>H2 (발명·기술토대):</w:t>
      </w:r>
      <w:r>
        <w:t xml:space="preserve"> </w:t>
      </w:r>
      <w:r>
        <w:rPr>
          <w:i/>
        </w:rPr>
        <w:t>부분 지지·약함.</w:t>
      </w:r>
      <w:r>
        <w:t xml:space="preserve"> 발명자 수는 작은 양의 효과(d=0.049, SHAP 4.2%)를 보인 반면, 후방 인용은 유의하지 않았다.</w:t>
      </w:r>
    </w:p>
    <w:p>
      <w:pPr>
        <w:pStyle w:val="ListBullet"/>
      </w:pPr>
      <w:r>
        <w:rPr>
          <w:b/>
        </w:rPr>
        <w:t>H3 (기관·정책 맥락):</w:t>
      </w:r>
      <w:r>
        <w:t xml:space="preserve"> </w:t>
      </w:r>
      <w:r>
        <w:rPr>
          <w:i/>
        </w:rPr>
        <w:t>지지(강함).</w:t>
      </w:r>
      <w:r>
        <w:t xml:space="preserve"> 부처유형·기관유형은 범주형 연관(Cramér's V)과 SHAP 전역 중요도에서 모두 개별 품질 지표를 상회했다. 이는 출연연·대학의 이전율이 기업·기타보다 높다는 예측과도 일치한다. 등록연도가 다른 모든 실질 변수를 압도했지만, </w:t>
      </w:r>
      <w:r>
        <w:rPr>
          <w:b/>
        </w:rPr>
        <w:t>등록연도를 제거한 민감도 분석(5.5)에서 부처·기관유형이 최상위로 부상</w:t>
      </w:r>
      <w:r>
        <w:t>했다. 따라서 맥락 우위는 시간 변수에 종속된 결과가 아님을 확인했다.</w:t>
      </w:r>
    </w:p>
    <w:p>
      <w:r>
        <w:t xml:space="preserve">종합하면, 본 연구의 핵심 발견은 </w:t>
      </w:r>
      <w:r>
        <w:rPr>
          <w:b/>
        </w:rPr>
        <w:t>정부 R&amp;D 특허의 이전 가능성이 특허 자체 품질보다 기관 역량·정책 채널과 시간 맥락에 더 크게 좌우된다는 점</w:t>
      </w:r>
      <w:r>
        <w:t>이다.</w:t>
      </w:r>
    </w:p>
    <w:p>
      <w:pPr>
        <w:pStyle w:val="Heading2"/>
      </w:pPr>
      <w:r>
        <w:t>6.2 실무·정책 함의</w:t>
      </w:r>
    </w:p>
    <w:p>
      <w:r>
        <w:t>개별 특허 품질에 주로 의존하는 사업화 스크리닝에는 한계가 있다. 따라서 이전율을 높이기 위해서는 TLO 역량 강화와 부처별 상용화 채널 설계가 더 효과적일 수 있다. 등록 시점의 스크리닝에는 기관·부처 프로파일과 청구항·발명자 규모를 결합한 지표를 우선 활용할 수 있다.</w:t>
      </w:r>
    </w:p>
    <w:p>
      <w:pPr>
        <w:pStyle w:val="Heading2"/>
      </w:pPr>
      <w:r>
        <w:t>6.3 한계</w:t>
      </w:r>
    </w:p>
    <w:p>
      <w:r>
        <w:t xml:space="preserve">1. </w:t>
      </w:r>
      <w:r>
        <w:rPr>
          <w:b/>
        </w:rPr>
        <w:t>관측창 중도절단:</w:t>
      </w:r>
      <w:r>
        <w:t xml:space="preserve"> 등록연도·특허연령이 최상위 예측인자로 나타난 것은 오래된 특허일수록 노출기간이 길기 때문일 수 있다. 민감도 분석(5.5)에서 등록연도를 제거하자 AUC는 0.71→0.65로 하락했으나 판별력은 유지되었다. 이는 시간 신호와 실질 특성 신호가 공존함을 보여준다. 다만 특허연령 등 잔여 노출 대리변수를 완전히 통제하는 것은 향후 과제로 남는다.</w:t>
      </w:r>
    </w:p>
    <w:p>
      <w:r>
        <w:t xml:space="preserve">2. </w:t>
      </w:r>
      <w:r>
        <w:rPr>
          <w:b/>
        </w:rPr>
        <w:t>시계열 일반화:</w:t>
      </w:r>
      <w:r>
        <w:t xml:space="preserve"> 외삽 검증에서 나타난 AUC 하락은 정책·시장 변화에 따른 분포 이동을 시사한다. 따라서 미래 예측에는 재학습·시간가중과 같은 시간 인지형 접근이 필요하다.</w:t>
      </w:r>
    </w:p>
    <w:p>
      <w:r>
        <w:t xml:space="preserve">3. </w:t>
      </w:r>
      <w:r>
        <w:rPr>
          <w:b/>
        </w:rPr>
        <w:t>타깃 정의:</w:t>
      </w:r>
      <w:r>
        <w:t xml:space="preserve"> 본 연구는 기술료 "발생 여부"만을 다루므로 이전 규모와 성공 정도를 반영하지 못한다. 향후에는 기술료 금액 회귀로 분석을 확장할 수 있다.</w:t>
      </w:r>
    </w:p>
    <w:p>
      <w:r>
        <w:t xml:space="preserve">4. </w:t>
      </w:r>
      <w:r>
        <w:rPr>
          <w:b/>
        </w:rPr>
        <w:t>인과 아님:</w:t>
      </w:r>
      <w:r>
        <w:t xml:space="preserve"> SHAP는 예측 기여를 나타내며 인과효과를 의미하지 않는다.</w:t>
      </w:r>
    </w:p>
    <w:p>
      <w:pPr>
        <w:pStyle w:val="Heading1"/>
      </w:pPr>
      <w:r>
        <w:t>7. 결론 (Conclusion)</w:t>
      </w:r>
    </w:p>
    <w:p>
      <w:r>
        <w:t>NTIS+KIPRIS 155,522건을 대상으로 기술이전 예측 모형을 구축하고 SHAP으로 해석한 결과, 트리 앙상블은 선형 모형보다 유의하게 우수한 성능을 보였다(Test AUC ~0.71). 또한 기술이전 가능성은 개별 특허 품질보다 시간·행정 및 기관·정책 맥락에 더 크게 좌우되는 것으로 나타났다. 모형의 성능은 하위집단에서 안정적이었으나 시계열 외삽에서는 하락했다. 따라서 시간 인지형 모델링과 중도절단 보정이 향후 핵심 과제로 남는다.</w:t>
      </w:r>
    </w:p>
    <w:p>
      <w:r>
        <w:br w:type="page"/>
      </w:r>
    </w:p>
    <w:p>
      <w:pPr>
        <w:pStyle w:val="Heading1"/>
      </w:pPr>
      <w:r>
        <w:t>참고문헌 (References)</w:t>
      </w:r>
    </w:p>
    <w:p>
      <w:pPr>
        <w:ind w:left="432"/>
      </w:pPr>
      <w:r>
        <w:t xml:space="preserve">아래 문헌은 학술 코퍼스(Scholar Gateway / Wiley Online Library) 검색으로 확보한 실존 논문이며 DOI를 병기했다. Chen &amp; Guestrin(2016), Lundberg &amp; Lee(2017)는 XGBoost·SHAP의 정본(canonical) 방법론 문헌이다. </w:t>
      </w:r>
      <w:r>
        <w:rPr>
          <w:b/>
        </w:rPr>
        <w:t>투고 전 각 DOI가 해당 서지로 정확히 연결되는지 최종 대조 필요.</w:t>
      </w:r>
    </w:p>
    <w:p>
      <w:pPr>
        <w:pStyle w:val="ListBullet"/>
      </w:pPr>
      <w:r>
        <w:t xml:space="preserve">Ananthraman, S., Cambré, B., Kittler, M., &amp; Delcamp, H. (2023). Divide and conquer: Relating patent quality and value in a conceptual framework based on a systematic review. </w:t>
      </w:r>
      <w:r>
        <w:rPr>
          <w:i/>
        </w:rPr>
        <w:t>International Journal of Management Reviews, 26</w:t>
      </w:r>
      <w:r>
        <w:t>(2), 285–311. https://doi.org/10.1111/ijmr.12354</w:t>
      </w:r>
    </w:p>
    <w:p>
      <w:pPr>
        <w:pStyle w:val="ListBullet"/>
      </w:pPr>
      <w:r>
        <w:t xml:space="preserve">Araújo, B. V., Azevedo, A. C., Almeida, F. M., &amp; Rodrigues, C. T. (2025). Innovation policy in an emerging economy: How regional and technological disparities moderate the effects of a national law. </w:t>
      </w:r>
      <w:r>
        <w:rPr>
          <w:i/>
        </w:rPr>
        <w:t>Review of Policy Research, 43</w:t>
      </w:r>
      <w:r>
        <w:t>(1). https://doi.org/10.1111/ropr.70075</w:t>
      </w:r>
    </w:p>
    <w:p>
      <w:pPr>
        <w:pStyle w:val="ListBullet"/>
      </w:pPr>
      <w:r>
        <w:t xml:space="preserve">Audretsch, D. B., Siegel, D. S., &amp; Terjesen, S. (2020). Entrepreneurship in the public and nonprofit sectors. </w:t>
      </w:r>
      <w:r>
        <w:rPr>
          <w:i/>
        </w:rPr>
        <w:t>Public Administration Review, 80</w:t>
      </w:r>
      <w:r>
        <w:t>(3), 468–472. https://doi.org/10.1111/puar.13200</w:t>
      </w:r>
    </w:p>
    <w:p>
      <w:pPr>
        <w:pStyle w:val="ListBullet"/>
      </w:pPr>
      <w:r>
        <w:t xml:space="preserve">Birhanu, A. G., &amp; Gambardella, A. (2023). To commercialize inside or outside of the firm: Behavioral considerations in patent exploitation by family firms. </w:t>
      </w:r>
      <w:r>
        <w:rPr>
          <w:i/>
        </w:rPr>
        <w:t>Strategic Management Journal, 45</w:t>
      </w:r>
      <w:r>
        <w:t>(5), 875–901. https://doi.org/10.1002/smj.3570</w:t>
      </w:r>
    </w:p>
    <w:p>
      <w:pPr>
        <w:pStyle w:val="ListBullet"/>
      </w:pPr>
      <w:r>
        <w:t xml:space="preserve">Caviggioli, F., De Marco, A., Rogo, F., &amp; Scellato, G. (2015). Patenting strategies and characteristics of declared inventions in the long term evolution standard. </w:t>
      </w:r>
      <w:r>
        <w:rPr>
          <w:i/>
        </w:rPr>
        <w:t>R&amp;D Management, 46</w:t>
      </w:r>
      <w:r>
        <w:t>(S2), 664–676. https://doi.org/10.1111/radm.12194</w:t>
      </w:r>
    </w:p>
    <w:p>
      <w:pPr>
        <w:pStyle w:val="ListBullet"/>
      </w:pPr>
      <w:r>
        <w:t xml:space="preserve">Chang, K., Zhou, W., Zhang, S., &amp; Yuan, C. (2015). Threshold effects of the patent H‑index in the relationship between patent citations and market value. </w:t>
      </w:r>
      <w:r>
        <w:rPr>
          <w:i/>
        </w:rPr>
        <w:t>Journal of the Association for Information Science and Technology, 66</w:t>
      </w:r>
      <w:r>
        <w:t>(12), 2697–2703. https://doi.org/10.1002/asi.23354</w:t>
      </w:r>
    </w:p>
    <w:p>
      <w:pPr>
        <w:pStyle w:val="ListBullet"/>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pPr>
        <w:pStyle w:val="ListBullet"/>
      </w:pPr>
      <w:r>
        <w:t xml:space="preserve">Coupet, J. (2024). To make or buy commercialization: A synthetic control approach. </w:t>
      </w:r>
      <w:r>
        <w:rPr>
          <w:i/>
        </w:rPr>
        <w:t>Journal of Policy Analysis and Management, 44</w:t>
      </w:r>
      <w:r>
        <w:t>(1), 183–207. https://doi.org/10.1002/pam.22644</w:t>
      </w:r>
    </w:p>
    <w:p>
      <w:pPr>
        <w:pStyle w:val="ListBullet"/>
      </w:pPr>
      <w:r>
        <w:t xml:space="preserve">Danish, M. S., Ranjan, P., &amp; Sharma, R. (2020). Determinants of patent survival in emerging economies: Evidence from residential patents in India. </w:t>
      </w:r>
      <w:r>
        <w:rPr>
          <w:i/>
        </w:rPr>
        <w:t>Journal of Public Affairs, 21</w:t>
      </w:r>
      <w:r>
        <w:t>(2). https://doi.org/10.1002/pa.2211</w:t>
      </w:r>
    </w:p>
    <w:p>
      <w:pPr>
        <w:pStyle w:val="ListBullet"/>
      </w:pPr>
      <w:r>
        <w:t xml:space="preserve">Debener, J., Heinke, V., &amp; Kriebel, J. (2023). Detecting insurance fraud using supervised and unsupervised machine learning. </w:t>
      </w:r>
      <w:r>
        <w:rPr>
          <w:i/>
        </w:rPr>
        <w:t>Journal of Risk and Insurance, 90</w:t>
      </w:r>
      <w:r>
        <w:t>(3), 743–768. https://doi.org/10.1111/jori.12427</w:t>
      </w:r>
    </w:p>
    <w:p>
      <w:pPr>
        <w:pStyle w:val="ListBullet"/>
      </w:pPr>
      <w:r>
        <w:t xml:space="preserve">Feng, Y., Zhou, M., &amp; Tong, X. (2021). Imbalanced classification: A paradigm-based review. </w:t>
      </w:r>
      <w:r>
        <w:rPr>
          <w:i/>
        </w:rPr>
        <w:t>Statistical Analysis and Data Mining: The ASA Data Science Journal, 14</w:t>
      </w:r>
      <w:r>
        <w:t>(5), 383–406. https://doi.org/10.1002/sam.11538</w:t>
      </w:r>
    </w:p>
    <w:p>
      <w:pPr>
        <w:pStyle w:val="ListBullet"/>
      </w:pPr>
      <w:r>
        <w:t xml:space="preserve">Hojnik, J., Bojnec, Š., Kustec, S., Zemlickienė, V., &amp; Turskis, Z. (2026). Enhancing knowledge and technology transfer: Determinants and indicators of successful university–industry collaboration. </w:t>
      </w:r>
      <w:r>
        <w:rPr>
          <w:i/>
        </w:rPr>
        <w:t>Corporate Social Responsibility and Environmental Management, 33</w:t>
      </w:r>
      <w:r>
        <w:t>(4), 5181–5205. https://doi.org/10.1002/csr.70437</w:t>
      </w:r>
    </w:p>
    <w:p>
      <w:pPr>
        <w:pStyle w:val="ListBullet"/>
      </w:pPr>
      <w:r>
        <w:t xml:space="preserve">Hsu, D. H., &amp; Kuhn, J. M. (2022). Academic stars and licensing experience in university technology commercialization. </w:t>
      </w:r>
      <w:r>
        <w:rPr>
          <w:i/>
        </w:rPr>
        <w:t>Strategic Management Journal, 44</w:t>
      </w:r>
      <w:r>
        <w:t>(3), 887–905. https://doi.org/10.1002/smj.3458</w:t>
      </w:r>
    </w:p>
    <w:p>
      <w:pPr>
        <w:pStyle w:val="ListBullet"/>
      </w:pPr>
      <w:r>
        <w:t xml:space="preserve">Kesselheim, A. S. (2011). An empirical review of major legislation affecting drug development: Past experiences, effects, and unintended consequences. </w:t>
      </w:r>
      <w:r>
        <w:rPr>
          <w:i/>
        </w:rPr>
        <w:t>The Milbank Quarterly, 89</w:t>
      </w:r>
      <w:r>
        <w:t>(3), 450–502. https://doi.org/10.1111/j.1468-0009.2011.00636.x</w:t>
      </w:r>
    </w:p>
    <w:p>
      <w:pPr>
        <w:pStyle w:val="ListBullet"/>
      </w:pPr>
      <w:r>
        <w:t xml:space="preserve">Kumar, A., &amp; Operti, E. (2023). Missed chances and unfulfilled hopes: Why do firms make errors in evaluating technological opportunities? </w:t>
      </w:r>
      <w:r>
        <w:rPr>
          <w:i/>
        </w:rPr>
        <w:t>Strategic Management Journal, 44</w:t>
      </w:r>
      <w:r>
        <w:t>(13), 3067–3097. https://doi.org/10.1002/smj.3543</w:t>
      </w:r>
    </w:p>
    <w:p>
      <w:pPr>
        <w:pStyle w:val="ListBullet"/>
      </w:pPr>
      <w:r>
        <w:t xml:space="preserve">Leite, R. A., Walter, C. E., Reis, I. B., Sousa, P. E., Aragão, I. M., &amp; Au‑Yong‑Oliveira, M. (2022). Towards a model for determining patent revenue odds: An empirical study of technology transfer offices. </w:t>
      </w:r>
      <w:r>
        <w:rPr>
          <w:i/>
        </w:rPr>
        <w:t>Expert Systems, 40</w:t>
      </w:r>
      <w:r>
        <w:t>(5). https://doi.org/10.1111/exsy.13037</w:t>
      </w:r>
    </w:p>
    <w:p>
      <w:pPr>
        <w:pStyle w:val="ListBullet"/>
      </w:pPr>
      <w:r>
        <w:t xml:space="preserve">Liu, D., &amp; Shih, M. (2011). Hybrid-patent classification based on patent-network analysis. </w:t>
      </w:r>
      <w:r>
        <w:rPr>
          <w:i/>
        </w:rPr>
        <w:t>Journal of the American Society for Information Science and Technology, 62</w:t>
      </w:r>
      <w:r>
        <w:t>(2), 246–256. https://doi.org/10.1002/asi.21459</w:t>
      </w:r>
    </w:p>
    <w:p>
      <w:pPr>
        <w:pStyle w:val="ListBullet"/>
      </w:pPr>
      <w:r>
        <w:t xml:space="preserve">Lockett, A., Wright, M., &amp; Wild, A. (2014). The institutionalization of third stream activities in UK higher education: The role of discourse and metrics. </w:t>
      </w:r>
      <w:r>
        <w:rPr>
          <w:i/>
        </w:rPr>
        <w:t>British Journal of Management, 26</w:t>
      </w:r>
      <w:r>
        <w:t>(1), 78–92. https://doi.org/10.1111/1467-8551.12069</w:t>
      </w:r>
    </w:p>
    <w:p>
      <w:pPr>
        <w:pStyle w:val="ListBullet"/>
      </w:pPr>
      <w:r>
        <w:t xml:space="preserve">Lundberg, S. M., &amp; Lee, S.‑I. (2017). A unified approach to interpreting model predictions. </w:t>
      </w:r>
      <w:r>
        <w:rPr>
          <w:i/>
        </w:rPr>
        <w:t>Advances in Neural Information Processing Systems, 30</w:t>
      </w:r>
      <w:r>
        <w:t xml:space="preserve"> (NeurIPS 2017), 4765–4774.</w:t>
      </w:r>
    </w:p>
    <w:p>
      <w:pPr>
        <w:pStyle w:val="ListBullet"/>
      </w:pPr>
      <w:r>
        <w:t xml:space="preserve">Markman, G. D., Siegel, D. S., &amp; Wright, M. (2008). Research and technology commercialization. </w:t>
      </w:r>
      <w:r>
        <w:rPr>
          <w:i/>
        </w:rPr>
        <w:t>Journal of Management Studies, 45</w:t>
      </w:r>
      <w:r>
        <w:t>(8), 1401–1423. https://doi.org/10.1111/j.1467-6486.2008.00803.x</w:t>
      </w:r>
    </w:p>
    <w:p>
      <w:pPr>
        <w:pStyle w:val="ListBullet"/>
      </w:pPr>
      <w:r>
        <w:t xml:space="preserve">Min, K., Lee, C., &amp; Kim, Y. (2021). The impact of the timing of patent allowance on technology licensing performance: Evidence from university invention commercialization. </w:t>
      </w:r>
      <w:r>
        <w:rPr>
          <w:i/>
        </w:rPr>
        <w:t>R&amp;D Management, 52</w:t>
      </w:r>
      <w:r>
        <w:t>(4), 633–649. https://doi.org/10.1111/radm.12509</w:t>
      </w:r>
    </w:p>
    <w:p>
      <w:pPr>
        <w:pStyle w:val="ListBullet"/>
      </w:pPr>
      <w:r>
        <w:t xml:space="preserve">Miric, M., Jia, N., &amp; Huang, K. G. (2022). Using supervised machine learning for large-scale classification in management research: The case for identifying artificial intelligence patents. </w:t>
      </w:r>
      <w:r>
        <w:rPr>
          <w:i/>
        </w:rPr>
        <w:t>Strategic Management Journal, 44</w:t>
      </w:r>
      <w:r>
        <w:t>(2), 491–519. https://doi.org/10.1002/smj.3441</w:t>
      </w:r>
    </w:p>
    <w:p>
      <w:pPr>
        <w:pStyle w:val="ListBullet"/>
      </w:pPr>
      <w:r>
        <w:t xml:space="preserve">Reis, A. A., Leite, R. Â., Walter, C. E., Reis, I. B., Gonçalves, R., Martins, J., Branco, F., &amp; Au‑Yong‑Oliveira, M. (2024). The hierarchical importance of patent's characteristics to licensing: An analysis through Random Forest. </w:t>
      </w:r>
      <w:r>
        <w:rPr>
          <w:i/>
        </w:rPr>
        <w:t>Expert Systems, 42</w:t>
      </w:r>
      <w:r>
        <w:t>(2). https://doi.org/10.1111/exsy.13661</w:t>
      </w:r>
    </w:p>
    <w:p>
      <w:pPr>
        <w:pStyle w:val="ListBullet"/>
      </w:pPr>
      <w:r>
        <w:t xml:space="preserve">Shukla, R., Breef‑Pilz, A., Lofton, M. E., Carey, C. C., &amp; Thomas, R. Q. (2026). Harnessing stability‑guided interpretable machine learning for understanding and predicting water quality in freshwater ecosystems. </w:t>
      </w:r>
      <w:r>
        <w:rPr>
          <w:i/>
        </w:rPr>
        <w:t>Journal of Geophysical Research: Biogeosciences, 131</w:t>
      </w:r>
      <w:r>
        <w:t>(3). https://doi.org/10.1029/2025JG009545</w:t>
      </w:r>
    </w:p>
    <w:p>
      <w:pPr>
        <w:pStyle w:val="ListBullet"/>
      </w:pPr>
      <w:r>
        <w:t xml:space="preserve">Wang, D. Y., Jordanger, L. A., &amp; Lin, J. C. (2025). Explainability of highly associated fuzzy churn patterns in binary classification. </w:t>
      </w:r>
      <w:r>
        <w:rPr>
          <w:i/>
        </w:rPr>
        <w:t>Expert Systems, 42</w:t>
      </w:r>
      <w:r>
        <w:t>(7). https://doi.org/10.1111/exsy.70066</w:t>
      </w:r>
    </w:p>
    <w:p>
      <w:pPr>
        <w:pStyle w:val="ListBullet"/>
      </w:pPr>
      <w:r>
        <w:t xml:space="preserve">Zhang, Z., Tang, J., Chu, M., Liu, Z., Shi, Q., Wang, M., Li, F., &amp; Lyu, Q. (2023). The amount prediction and optimization of the returned ore generated from sintering process based on SHAP value and ensemble learning. </w:t>
      </w:r>
      <w:r>
        <w:rPr>
          <w:i/>
        </w:rPr>
        <w:t>Steel Research International, 94</w:t>
      </w:r>
      <w:r>
        <w:t>(9). https://doi.org/10.1002/srin.202300114</w:t>
      </w:r>
    </w:p>
    <w:p>
      <w:pPr>
        <w:pStyle w:val="Heading1"/>
      </w:pPr>
      <w:r>
        <w:t>부록: 산출물 대응표</w:t>
      </w:r>
    </w:p>
    <w:p>
      <w:pPr>
        <w:pStyle w:val="ListBullet"/>
      </w:pPr>
      <w:r>
        <w:t xml:space="preserve">표: </w:t>
      </w:r>
      <w:r>
        <w:rPr>
          <w:rFonts w:ascii="Consolas" w:hAnsi="Consolas"/>
        </w:rPr>
        <w:t>output/tables/</w:t>
      </w:r>
      <w:r>
        <w:t xml:space="preserve"> (variable_summary_</w:t>
      </w:r>
      <w:r>
        <w:rPr>
          <w:i/>
        </w:rPr>
        <w:t>, eda_</w:t>
      </w:r>
      <w:r>
        <w:t>, model_performance, shap_importance, robustness_*)</w:t>
      </w:r>
    </w:p>
    <w:p>
      <w:pPr>
        <w:pStyle w:val="ListBullet"/>
      </w:pPr>
      <w:r>
        <w:t xml:space="preserve">그림: </w:t>
      </w:r>
      <w:r>
        <w:rPr>
          <w:rFonts w:ascii="Consolas" w:hAnsi="Consolas"/>
        </w:rPr>
        <w:t>output/figures/</w:t>
      </w:r>
      <w:r>
        <w:t xml:space="preserve"> (eda_</w:t>
      </w:r>
      <w:r>
        <w:rPr>
          <w:i/>
        </w:rPr>
        <w:t>, roc_pr, shap_</w:t>
      </w:r>
      <w:r>
        <w:t>, robustness_*)</w:t>
      </w:r>
    </w:p>
    <w:p>
      <w:pPr>
        <w:pStyle w:val="ListBullet"/>
      </w:pPr>
      <w:r>
        <w:t xml:space="preserve">모델: </w:t>
      </w:r>
      <w:r>
        <w:rPr>
          <w:rFonts w:ascii="Consolas" w:hAnsi="Consolas"/>
        </w:rPr>
        <w:t>output/models/</w:t>
      </w:r>
      <w:r>
        <w:t xml:space="preserve"> (LR/RF/XGBoost/LightGBM.pkl, _meta.json, _shap_summary.json, test_index.npy)</w:t>
      </w:r>
    </w:p>
    <w:p>
      <w:pPr>
        <w:pStyle w:val="ListBullet"/>
      </w:pPr>
      <w:r>
        <w:t xml:space="preserve">재현: </w:t>
      </w:r>
      <w:r>
        <w:rPr>
          <w:rFonts w:ascii="Consolas" w:hAnsi="Consolas"/>
        </w:rPr>
        <w:t>src/common.py</w:t>
      </w:r>
      <w:r>
        <w:t xml:space="preserve"> + </w:t>
      </w:r>
      <w:r>
        <w:rPr>
          <w:rFonts w:ascii="Consolas" w:hAnsi="Consolas"/>
        </w:rPr>
        <w:t>src/s2~s6_*.py</w:t>
      </w:r>
      <w:r>
        <w:t xml:space="preserve">, </w:t>
      </w:r>
      <w:r>
        <w:rPr>
          <w:rFonts w:ascii="Consolas" w:hAnsi="Consolas"/>
        </w:rPr>
        <w:t>python run_all.py</w:t>
      </w:r>
      <w:r>
        <w:t xml:space="preserve"> 대체용 스크립트 순차 실행.</w:t>
      </w:r>
    </w:p>
    <w:p>
      <w:r>
        <w:rPr>
          <w:i/>
        </w:rPr>
        <w:t>본 초안은 실측 산출물 수치에 근거하며, 참고문헌 26편은 Crossref DOI 대조로 검증되었다(2026-07-23).</w:t>
      </w:r>
    </w:p>
    <w:sectPr w:rsidR="00FC693F" w:rsidRPr="0006063C" w:rsidSect="00034616">
      <w:pgSz w:w="12240" w:h="15840"/>
      <w:pgMar w:top="1440" w:right="3168" w:bottom="1440" w:left="180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algun Gothic"/>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algun Gothic"/>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