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 tutela dei dati personali nel rapporto di lavoro: il controllo a distanza dei lavoratori tra Statuto dei lavoratori e GDPR</w:t>
      </w:r>
    </w:p>
    <w:p>
      <w:r>
        <w:rPr>
          <w:b/>
          <w:sz w:val="28"/>
        </w:rPr>
        <w:t>Indice</w:t>
      </w:r>
    </w:p>
    <w:p>
      <w:r>
        <w:fldChar w:fldCharType="begin"/>
      </w:r>
      <w:r>
        <w:instrText xml:space="preserve">TOC \o "1-3" \h \z \u</w:instrText>
      </w:r>
      <w:r>
        <w:fldChar w:fldCharType="separate"/>
      </w:r>
      <w:r>
        <w:t>…</w:t>
      </w:r>
      <w:r>
        <w:fldChar w:fldCharType="end"/>
      </w:r>
    </w:p>
    <w:p>
      <w:r>
        <w:br w:type="page"/>
      </w:r>
    </w:p>
    <w:p>
      <w:pPr>
        <w:pStyle w:val="Heading1"/>
      </w:pPr>
      <w:r>
        <w:rPr/>
        <w:t>Introduzione</w:t>
      </w:r>
    </w:p>
    <w:p>
      <w:pPr/>
      <w:r>
        <w:rPr/>
        <w:t>Il potere direttivo del datore di lavoro incontra da sempre un limite nella persona del lavoratore. Nell’era digitale quel limite si sposta sul terreno dei dati personali. La domanda che attraversa questo lavoro è perché la tutela dei dati personali del lavoratore, e in particolare la disciplina del controllo a distanza, costituisca oggi un problema giuridico centrale.</w:t>
      </w:r>
    </w:p>
    <w:p>
      <w:pPr/>
      <w:r>
        <w:rPr/>
        <w:t>Il nodo nasce da un bilanciamento. L’art. 4 dello Statuto ammette gli strumenti «dai quali derivi anche la possibilità di controllo a distanza dell’attività dei lavoratori» solo per «esigenze organizzative e produttive, per la sicurezza del lavoro e per la tutela del patrimonio aziendale» (Legge 20 maggio 1970, n. 300, art. 4, comma 1). La norma non vieta il controllo in assoluto, ma lo subordina a finalità qualificate e alla mediazione collettiva.</w:t>
      </w:r>
    </w:p>
    <w:p>
      <w:pPr/>
      <w:r>
        <w:rPr/>
        <w:t>La stessa disposizione impone che l’utilizzabilità delle informazioni raccolte avvenga «nel rispetto di quanto disposto dal decreto legislativo 30 giugno 2003, n. 196» (Legge 20 maggio 1970, n. 300, art. 4, comma 1). Il controllo lecito è quindi anche trattamento lecito di dati.</w:t>
      </w:r>
    </w:p>
    <w:p>
      <w:pPr/>
      <w:r>
        <w:rPr/>
        <w:t>Da qui deriva un doppio binario normativo. Da un lato lo Statuto e il Codice privacy; dall’altro il Regolamento (UE) 2016/679. La dottrina osserva che i requisiti di liceità nel rapporto di lavoro «sono quelli stabiliti dall’art. 4 L. 20 maggio 1970, n. 300, richiamato dagli artt. 113 e 114 del Codice Privacy» (Ghionzoli, 2025, p. 16). I due sistemi non si sovrappongono per esclusione, ma per rinvio reciproco.</w:t>
      </w:r>
    </w:p>
    <w:p>
      <w:pPr/>
      <w:r>
        <w:rPr/>
        <w:t>Il coordinamento è esplicito nel testo. L’art. 88, secondo comma, GDPR estende «la contrattazione con le parti sociali con specifico riferimento al trattamento ulteriore dei dati personali» e opera «in combinato disposto con gli artt. 5 e 6 GDPR» (Ghionzoli, 2025, p. 18). Il trattamento nel rapporto di lavoro deve dunque svolgersi «nell’osservanza dei principi di cui all’art. 5 del GDPR e in particolare del principio di liceità, secondo cui il trattamento è lecito solo se conforme alle discipline di settore applicabili» (Ghionzoli, 2025, p. 16).</w:t>
      </w:r>
    </w:p>
    <w:p>
      <w:pPr/>
      <w:r>
        <w:rPr/>
        <w:t>La complessità non è meramente formale. La dottrina sottolinea come l’integrazione tra l’art. 4 dello Statuto, «which regulates the limits of the employer’s remote monitoring power», e la disciplina di protezione dei dati produca conseguenze pratiche sul ruolo delle rappresentanze sindacali nella tutela dai fenomeni di sorveglianza digitale (Ingrao, 2024). Il problema riguarda quindi anche gli assetti negoziali e non solo l’interpretazione delle singole norme.</w:t>
      </w:r>
    </w:p>
    <w:p>
      <w:pPr/>
      <w:r>
        <w:rPr/>
        <w:t>A rendere il tema attuale concorre la trasformazione tecnologica dei luoghi di lavoro. L’analisi giuslavoristica individua tre macro-scenari: l’industria 4.0 e la «cognitive enterprise»; una riorganizzazione tradizionale che genera «a kind of neo digital Fordism, as does the Amazon model in the logistic sector»; e l’ascesa della gig economy, con i suoi «workers on tap» e «the algorithm as a boss» (Caruso &amp; Zappalà, 2022). In tutti e tre i casi la tecnologia non è un accessorio, ma il driver che ridisegna il perimetro del controllo.</w:t>
      </w:r>
    </w:p>
    <w:p>
      <w:pPr/>
      <w:r>
        <w:rPr/>
        <w:t>Questi scenari, «even if characterised by blurred borders», impongono di ripensare il diritto del lavoro non più «rigid and uniform rules», ma una regolazione fatta «by differentiation, adaptations, extensions, dilutions», con un valore unificante: «the reference to the individual, to her/his life project, and ultimately to her/his dignity» (Caruso &amp; Zappalà, 2022). La dignità del lavoratore torna così a essere il criterio di misura del potere di controllo.</w:t>
      </w:r>
    </w:p>
    <w:p>
      <w:pPr/>
      <w:r>
        <w:rPr/>
        <w:t>Il problema, allora, è ricostruttivo prima che applicativo. Occorre stabilire come una norma nata per gli «impianti audiovisivi» prima del digitale, l’art. 4 dello Statuto, dialoghi con un regolamento europeo che «brings personal data into a detailed regulatory regime». La delimitazione del campo è precisa: l’indagine si concentra sul controllo a distanza mediato da strumenti tecnologici, escludendo profili di trattamento estranei alla dimensione del monitoraggio.</w:t>
      </w:r>
    </w:p>
    <w:p>
      <w:pPr/>
      <w:r>
        <w:rPr/>
        <w:t>L’approccio è di analisi giuridica delle fonti: normativa nazionale ed europea, dottrina giuslavoristica e prassi del Garante, lette in chiave di coordinamento sistematico. La ricerca non raccoglie dati empirici, ma ricostruisce il quadro normativo e interpretativo disponibile.</w:t>
      </w:r>
    </w:p>
    <w:p>
      <w:pPr/>
      <w:r>
        <w:rPr/>
        <w:t>Il quesito resta aperto e richiede di verificare se, e a quali condizioni, il rinvio dell’art. 4, comma 1, al Codice privacy e il richiamo dell’art. 88 GDPR agli «artt. 5 e 6 GDPR» (Ghionzoli, 2025, p. 18) costruiscano un sistema coerente o generino zone di frizione tra tutela della riservatezza e potere organizzativo del datore.</w:t>
      </w:r>
    </w:p>
    <w:p>
      <w:pPr>
        <w:pStyle w:val="Heading2"/>
      </w:pPr>
      <w:r>
        <w:rPr/>
        <w:t>La formulazione originaria dell'art. 4 (L. 300/1970)</w:t>
      </w:r>
    </w:p>
    <w:p>
      <w:pPr/>
      <w:r>
        <w:rPr/>
        <w:t>L’originaria versione dell’art. 4 St. lav., rubricata «Impianti audiovisivi», articolava la disciplina su due livelli. Al primo comma poneva un divieto assoluto: «È vietato l’uso di impianti audiovisivi e di altre apparecchiature per finalità di controllo a distanza dell’attività dei lavoratori» (Corte di Cassazione, sezione lavoro, sentenza 22 settembre 2021, n. 25732, p. 4). La norma colpiva così il controllo a distanza privo di ragioni inerenti all’impresa.</w:t>
      </w:r>
    </w:p>
    <w:p>
      <w:pPr/>
      <w:r>
        <w:rPr/>
        <w:t>La Cassazione ha qualificato questo primo livello come protezione «pieno», riferita al «cd. controllo fine a sé stesso» (Corte di Cassazione, sezione lavoro, sentenza 22 settembre 2021, n. 25732, p. 4). Il divieto operava, cioè, come regola generale non derogabile quando la sorveglianza non fosse sorretta da esigenze aziendali.</w:t>
      </w:r>
    </w:p>
    <w:p>
      <w:pPr/>
      <w:r>
        <w:rPr/>
        <w:t>Il secondo comma introduceva invece una protezione «affievolito», operante «ove le ragioni del controllo fossero state riconducibili ad esigenze oggettive dell’impresa» (Corte di Cassazione, sezione lavoro, sentenza 22 settembre 2021, n. 25732, p. 4). Gli impianti «richiesti da esigenze organizzative e produttive ovvero dalla sicurezza del lavoro», dai quali derivasse «anche la possibilità di controllo a distanza dell’attività dei lavoratori», potevano essere installati «soltanto previo accordo con le rappresentanze sindacali aziendali, oppure, in mancanza di queste, con la commissione interna» (Corte di Cassazione, sezione III penale, sentenza 30 gennaio 2014, n. 4331, p. 1).</w:t>
      </w:r>
    </w:p>
    <w:p>
      <w:pPr/>
      <w:r>
        <w:rPr/>
        <w:t>Le esigenze legittimanti erano dunque tre e tassative: organizzative, produttive e di sicurezza del lavoro. La tutela del patrimonio aziendale, oggi presente nell’attuale art. 4, comma 1 (Legge 20 maggio 1970, n. 300, art. 4, comma 1), non figurava nel testo originario.</w:t>
      </w:r>
    </w:p>
    <w:p>
      <w:pPr/>
      <w:r>
        <w:rPr/>
        <w:t>Il filtro procedurale seguiva una sequenza precisa. In difetto di accordo, «su istanza del datore di lavoro, provvede l’Ispettorato del lavoro, dettando, ove occorra, le modalità per l’uso di tali impianti» (Corte di Cassazione, sezione III penale, sentenza 30 gennaio 2014, n. 4331, p. 1). L’intervento amministrativo operava dunque solo in via sussidiaria, dopo il tentativo di intesa con le rappresentanze.</w:t>
      </w:r>
    </w:p>
    <w:p>
      <w:pPr/>
      <w:r>
        <w:rPr/>
        <w:t>Contro i provvedimenti dell’Ispettorato era ammesso ricorso «entro 30 giorni dalla comunicazione del provvedimento, al Ministro per il lavoro e la previdenza sociale» (Corte di Cassazione, sezione lavoro, sentenza 22 settembre 2021, n. 25732, p. 4). La legittimazione spettava al datore, alle rappresentanze sindacali aziendali o, in mancanza, alla commissione interna, oppure ai sindacati di cui all’art. 19.</w:t>
      </w:r>
    </w:p>
    <w:p>
      <w:pPr/>
      <w:r>
        <w:rPr/>
        <w:t>La violazione non restava priva di conseguenze penali. La Cass. sez. III penale, 30 gennaio 2014, n. 4331, ha confermato la condanna del legale rappresentante che aveva «installato un impianto audiovisivo di controllo a distanza dei lavoratori delle casse del suo supermercato senza accordo con le rappresentanze sindacali e senza autorizzazione dell’Ispettorato del lavoro» (Corte di Cassazione, sezione III penale, sentenza 30 gennaio 2014, n. 4331, p. 1). La pena inflitta era di «€ 200 di ammenda per il reato di cui all’articolo 4, comma 2, l. 300/1970» (Corte di Cassazione, sezione III penale, sentenza 30 gennaio 2014, n. 4331, p. 1).</w:t>
      </w:r>
    </w:p>
    <w:p>
      <w:pPr/>
      <w:r>
        <w:rPr/>
        <w:t>La sanzione trovava fondamento nell’art. 38 dello Statuto; il riferimento all’art. 4 in quell’articolo è stato successivamente soppresso dall’art. 179, sicché la norma resta «tuttora vigente pur non trovando più […] sanzione nell’articolo 38, comma 1» (Corte di Cassazione, sezione III penale, sentenza 30 gennaio 2014, n. 4331, p. 1). Nel disegno originario, tuttavia, la copertura penale rafforzava il divieto e ne segnava l’inderogabilità.</w:t>
      </w:r>
    </w:p>
    <w:p>
      <w:pPr/>
      <w:r>
        <w:rPr/>
        <w:t>La cornice di dignità entro cui il divieto si inseriva è completata dall’art. 8 St. lav. Esso vieta al datore, «ai fini dell’assunzione, come nel corso dello svolgimento del rapporto di lavoro, di effettuare indagini, anche a mezzo di terzi, sulle opinioni politiche, religiose o sindacali del lavoratore, nonché su fatti non rilevanti ai fini della valutazione dell’attitudine professionale» (Legge 20 maggio 1970, n. 300, art. 8). Il controllo a distanza e l’indagine sulle opinioni convergevano così verso la protezione della sfera personale del prestatore.</w:t>
      </w:r>
    </w:p>
    <w:p>
      <w:pPr/>
      <w:r>
        <w:rPr/>
        <w:t>Questa centralità della persona del lavoratore era già oggetto di riflessione dottrinale contemporanea allo Statuto: la monografia di Carlo Smuraglia sul ruolo della persona del prestatore nel rapporto di lavoro muoveva «dai principi costituzionali per sviluppare argomentazioni significative» che ridefinivano «le conseguenze del coinvolgimento della persona nell’esecuzione del rapporto di lavoro» (Smuraglia, 1967). Il fondamento costituzionale, dunque, precedeva e orientava la scelta legislativa del 1970.</w:t>
      </w:r>
    </w:p>
    <w:p>
      <w:pPr/>
      <w:r>
        <w:rPr/>
        <w:t>Il testo originario, in sintesi, costruiva un divieto forte del controllo a distanza dell’attività lavorativa, derogabile solo per esigenze qualificate e sempre subordinato al filtro dell’accordo sindacale o, in via sussidiaria, dell’Ispettorato del lavoro.</w:t>
      </w:r>
    </w:p>
    <w:p>
      <w:pPr>
        <w:pStyle w:val="Heading2"/>
      </w:pPr>
      <w:r>
        <w:rPr/>
        <w:t>La riforma del Jobs Act (D.Lgs. 151/2015)</w:t>
      </w:r>
    </w:p>
    <w:p>
      <w:pPr/>
      <w:r>
        <w:rPr/>
        <w:t>La riforma del 2015 opera una sostituzione integrale del testo statutario: il D.Lgs. 14 settembre 2015, n. 151, art. 23, comma 1, dispone che «L’articolo 4 della legge 20 maggio 1970, n. 300 è sostituito dal seguente» (Decreto legislativo 14 settembre 2015, n. 151, art. 23, art. 23, comma 1). Non si tratta dunque di un’interpolazione, ma della riscrittura dell’intera norma cardine sul controllo a distanza.</w:t>
      </w:r>
    </w:p>
    <w:p>
      <w:pPr/>
      <w:r>
        <w:rPr/>
        <w:t>Il nuovo comma 1 conserva l’impianto autorizzatorio precedente: gli impianti «dai quali derivi anche la possibilità di controllo a distanza dell’attività dei lavoratori» restano ammessi solo per «esigenze organizzative e produttive, per la sicurezza del lavoro e per la tutela del patrimonio aziendale» e «previo accordo collettivo» con RSU o RSA (Decreto legislativo 14 settembre 2015, n. 151, art. 23, art. 4, comma 1). In mancanza di accordo, la novella del 2015 richiedeva l’autorizzazione della Direzione territoriale del lavoro (Decreto legislativo 14 settembre 2015, n. 151, art. 23, art. 4, comma 1); il riferimento è stato poi aggiornato all’Ispettorato nazionale del lavoro dal D.Lgs. 24 settembre 2016, n. 185, art. 5, comma 2 (Corte di Cassazione, sezione lavoro, sentenza 22 settembre 2021, n. 25732, p. 7).</w:t>
      </w:r>
    </w:p>
    <w:p>
      <w:pPr/>
      <w:r>
        <w:rPr/>
        <w:t>L’innovazione più rilevante è il nuovo comma 2, che sottrae al regime autorizzatorio del comma 1 «gli strumenti utilizzati dal lavoratore per rendere la prestazione lavorativa e agli strumenti di registrazione degli accessi e delle presenze» (Decreto legislativo 14 settembre 2015, n. 151, art. 23, art. 4, comma 2). Si introduce così la distinzione strutturale tra impianti di controllo – soggetti ad accordo o autorizzazione – e strumenti di lavoro, per i quali quel filtro procedurale non opera.</w:t>
      </w:r>
    </w:p>
    <w:p>
      <w:pPr/>
      <w:r>
        <w:rPr/>
        <w:t>La distinzione non è tuttavia priva di limiti di perimetro. La Cassazione ha precisato che il telepass installato su auto aziendale, secondo parte della dottrina, «rientra nell’ambito applicativo del comma 2 dell’art. 4 L. n. 300/1970 novellato» in quanto «direttamente funzionale all’efficienza della singola prestazione» (Corte di Cassazione, sezione lavoro, ordinanza 3 giugno 2024, n. 15391, p. 6). La qualificazione di uno strumento come mezzo per rendere la prestazione dipende quindi dalla sua compenetrazione con l’attività, non dalla mera denominazione.</w:t>
      </w:r>
    </w:p>
    <w:p>
      <w:pPr/>
      <w:r>
        <w:rPr/>
        <w:t>Il comma 3 sposta il baricentro dalla legittimazione dell’installazione all’utilizzabilità dei dati: le informazioni raccolte «ai sensi dei commi 1 e 2 sono utilizzabili a tutti i fini connessi al rapporto di lavoro a condizione che sia data al lavoratore adeguata informazione delle modalità d’uso degli strumenti e di effettuazione dei controlli» (Decreto legislativo 14 settembre 2015, n. 151, art. 23, art. 4, comma 3). L’utilizzabilità, anche disciplinare, è quindi subordinata a una condizione informativa che vale per entrambe le categorie di strumenti.</w:t>
      </w:r>
    </w:p>
    <w:p>
      <w:pPr/>
      <w:r>
        <w:rPr/>
        <w:t>Questa condizione è oggetto di applicazione rigorosa. La Cassazione ha ritenuto inutilizzabili i dati del telepass perché «la società non ha dato prova di aver rispettato gli adempimenti indicati» nel comma 3, non bastando l’informativa fornita per un diverso strumento: «è necessario che la condizione indicata dalla norma sia attuata per ciascuno strumento» (Corte di Cassazione, sezione lavoro, ordinanza 3 giugno 2024, n. 15391, p. 4). Irrilevante, ai fini della norma, la mera «consapevolezza del dipendente sulla presenza dell’apparato Telepass», occorrendo la «precipua informativa al lavoratore» (Corte di Cassazione, sezione lavoro, ordinanza 3 giugno 2024, n. 15391, p. 6).</w:t>
      </w:r>
    </w:p>
    <w:p>
      <w:pPr/>
      <w:r>
        <w:rPr/>
        <w:t>Il terzo elemento del comma 3 è il rinvio esterno: l’utilizzabilità è ammessa «nel rispetto di quanto disposto dal decreto legislativo 30 giugno 2003, n. 196» (Decreto legislativo 14 settembre 2015, n. 151, art. 23, art. 4, comma 3). Il controllo a distanza resta così coordinato con la disciplina di protezione dei dati personali, e l’informativa statutaria si somma ai requisiti del Codice privacy.</w:t>
      </w:r>
    </w:p>
    <w:p>
      <w:pPr/>
      <w:r>
        <w:rPr/>
        <w:t>Sul versante sanzionatorio, l’art. 23 incide anche sull’art. 171 del Codice privacy, disponendo che «la violazione delle disposizioni di cui all’articolo 113 e all’articolo 4, primo e secondo comma, della legge 20 maggio 1970, n. 300, è punita con le sanzioni di cui all’articolo 38 della legge n. 300 del 1970» (Decreto legislativo 14 settembre 2015, n. 151, art. 23, art. 23, comma 2). Il presidio penale-sanzionatorio è così ancorato alla violazione dei commi 1 e 2, non del comma 3.</w:t>
      </w:r>
    </w:p>
    <w:p>
      <w:pPr/>
      <w:r>
        <w:rPr/>
        <w:t>La dottrina qualifica il modello risultante come fondato sul «mero diritto all’informazione dei lavoratori»: l’art. 88, comma 2, GDPR costituisce «una norma garantista, che rafforza l’art. 23, 3° co), del D.lgs 151/2015 (già art. 4 dello Statuto)» (Ghionzoli, 2025, p. 18). La riforma, in sostanza, alleggerisce il vincolo procedurale per gli strumenti di lavoro spostando la tutela sul piano informativo e sul coordinamento con la normativa privacy.</w:t>
      </w:r>
    </w:p>
    <w:p>
      <w:pPr>
        <w:pStyle w:val="Heading2"/>
      </w:pPr>
      <w:r>
        <w:rPr/>
        <w:t>Accordo sindacale e autorizzazione amministrativa</w:t>
      </w:r>
    </w:p>
    <w:p>
      <w:pPr/>
      <w:r>
        <w:rPr/>
        <w:t>Il primo presupposto è di natura sostanziale: l’installazione di impianti audiovisivi «dai quali derivi anche la possibilità di controllo a distanza dell’attività dei lavoratori» è consentita «esclusivamente per esigenze organizzative e produttive, per la sicurezza del lavoro e per la tutela del patrimonio aziendale» (Legge 20 maggio 1970, n. 300, art. 4, comma 1). Queste quattro finalità costituiscono un elenco chiuso, e nessun impiego può prescindere da almeno una di esse.</w:t>
      </w:r>
    </w:p>
    <w:p>
      <w:pPr/>
      <w:r>
        <w:rPr/>
        <w:t>Accanto al presupposto finalistico opera un presupposto procedurale a struttura alternativa e gerarchica. La via principale è l’accordo collettivo: gli strumenti «possono essere installati previo accordo collettivo stipulato dalla rappresentanza sindacale unitaria o dalle rappresentanze sindacali aziendali» (Legge 20 maggio 1970, n. 300, art. 4, comma 1).</w:t>
      </w:r>
    </w:p>
    <w:p>
      <w:pPr/>
      <w:r>
        <w:rPr/>
        <w:t>Per le imprese multi-localizzate la titolarità negoziale si sposta al livello superiore. Nel caso di unità produttive «ubicate in diverse province della stessa regione ovvero in più regioni, tale accordo può essere stipulato dalle associazioni sindacali comparativamente più rappresentative sul piano nazionale» (Legge 20 maggio 1970, n. 300, art. 4, comma 1).</w:t>
      </w:r>
    </w:p>
    <w:p>
      <w:pPr/>
      <w:r>
        <w:rPr/>
        <w:t>La via amministrativa è sussidiaria e opera solo «in mancanza di accordo»: gli impianti «possono essere installati previa autorizzazione delle sede territoriale dell’Ispettorato nazionale del lavoro» (Legge 20 maggio 1970, n. 300, art. 4, comma 1). Per le imprese con unità produttive in più ambiti territoriali provvede «la sede centrale dell’Ispettorato nazionale del lavoro» (Legge 20 maggio 1970, n. 300, art. 4, comma 1). I relativi provvedimenti «sono definitivi» (Legge 20 maggio 1970, n. 300, art. 4, comma 1).</w:t>
      </w:r>
    </w:p>
    <w:p>
      <w:pPr/>
      <w:r>
        <w:rPr/>
        <w:t>L’esenzione procedurale delimita il perimetro dell’obbligo. La procedura «non si applica agli strumenti utilizzati dal lavoratore per rendere la prestazione lavorativa e agli strumenti di registrazione degli accessi e delle presenze» (Legge 20 maggio 1970, n. 300, art. 4, comma 2).</w:t>
      </w:r>
    </w:p>
    <w:p>
      <w:pPr/>
      <w:r>
        <w:rPr/>
        <w:t>La sanzione per l’inosservanza della sequenza procedurale è confermata dalla giurisprudenza penale. Nel caso deciso dalla Corte di Cassazione, sez. III penale, sentenza 30 gennaio 2014, n. 4331, il legale rappresentante era stato condannato a «€ 200 di ammenda» per avere installato «un impianto audiovisivo di controllo a distanza dei lavoratori delle casse del suo supermercato senza accordo con le rappresentanze sindacali e senza autorizzazione dell’Ispettorato del lavoro» (Corte di Cassazione, sezione III penale, sentenza 30 gennaio 2014, n. 4331, p. 1).</w:t>
      </w:r>
    </w:p>
    <w:p>
      <w:pPr/>
      <w:r>
        <w:rPr/>
        <w:t>La difesa aveva sostenuto che «insufficiente sarebbe a integrare il reato la installazione dell’impianto, essendo necessaria anche la verifica della sua idoneità a cagionare concrete conseguenze dannose ai lavoratori» (Corte di Cassazione, sezione III penale, sentenza 30 gennaio 2014, n. 4331, p. 1). La condotta punita è dunque la sola installazione priva del filtro procedurale, a prescindere da un danno concreto: la violazione della procedura integra di per sé l’illecito.</w:t>
      </w:r>
    </w:p>
    <w:p>
      <w:pPr/>
      <w:r>
        <w:rPr/>
        <w:t>Occorre segnalare un limite di trasferibilità: la sentenza n. 4331/2014 fa riferimento al testo dell’art. 4 anteriore alla riforma e alla configurazione dell’apparato sanzionatorio dell’epoca, poiché il riferimento all’art. 4 nell’art. 38, comma 1, era stato oggetto di successivi interventi normativi (Corte di Cassazione, sezione III penale, sentenza 30 gennaio 2014, n. 4331, p. 1). La struttura del presupposto procedurale, tuttavia, resta immutata nel testo vigente.</w:t>
      </w:r>
    </w:p>
    <w:p>
      <w:pPr/>
      <w:r>
        <w:rPr/>
        <w:t>La contrattazione collettiva emerge come sede effettiva di governance condivisa e non come mero adempimento formale. L’indagine sugli accordi aziendali e territoriali stipulati tra il 2023 e il 2025 individua gli accordi ex art. 4 dello Statuto come «sede privilegiata per la sperimentazione di modelli di governance condivisa», anche in relazione all’introduzione di sistemi di intelligenza artificiale (Peruzzi, 2025).</w:t>
      </w:r>
    </w:p>
    <w:p>
      <w:pPr/>
      <w:r>
        <w:rPr/>
        <w:t>La stessa indagine documenta però lacune nel contenuto degli accordi: «una declinazione ancora troppo generica dei contenuti informativi, la scarsa formalizzazione delle valutazioni di impatto, l’insufficiente disciplina della sorveglianza umana e la limitata attenzione ai rischi di discriminazione e profilazione» (Peruzzi, 2025). Ne risulta «una distanza rispetto a modelli più compiuti di accountability algoritmica in chiave partecipata» (Peruzzi, 2025).</w:t>
      </w:r>
    </w:p>
    <w:p>
      <w:pPr/>
      <w:r>
        <w:rPr/>
        <w:t>Questa evidenza settoriale segnala un limite: il presidio negoziale, pur giuridicamente idoneo a legittimare l’installazione, non garantisce da solo la qualità sostanziale delle garanzie quando gli strumenti tecnologici assumono capacità di profilazione avanzata.</w:t>
      </w:r>
    </w:p>
    <w:p>
      <w:pPr/>
      <w:r>
        <w:rPr/>
        <w:t>La legittimità del controllo a distanza dipende dunque dal rispetto congiunto del presupposto finalistico dell’art. 4, comma 1, e dell’alternativa procedurale accordo/autorizzazione, la cui inosservanza è sanzionata già a livello di mera installazione, come conferma la sentenza n. 4331/2014.</w:t>
      </w:r>
    </w:p>
    <w:p>
      <w:pPr>
        <w:pStyle w:val="Heading2"/>
      </w:pPr>
      <w:r>
        <w:rPr/>
        <w:t>Ambito di applicazione e definizioni</w:t>
      </w:r>
    </w:p>
    <w:p>
      <w:pPr/>
      <w:r>
        <w:rPr/>
        <w:t>Il Regolamento (UE) 2016/679 definisce le nozioni cardine del trattamento e le proietta sul rapporto di lavoro attraverso una clausola di apertura verso il diritto nazionale e collettivo. Il Regolamento «brings personal data into a detailed regulatory regime» (Hoofnagle et al., 2019), e va inteso come «an extension and refinement» della direttiva 95/46/CE (Hoofnagle et al., 2019).</w:t>
      </w:r>
    </w:p>
    <w:p>
      <w:pPr/>
      <w:r>
        <w:rPr/>
        <w:t>Sul piano soggettivo, l’art. 4, n. 21, GDPR individua l'«autorità di controllo» quale «l’autorità pubblica indipendente istituita da uno Stato membro ai sensi dell’articolo 51» (Regolamento, art. 4), n. 21. L’art. 4, n. 22, definisce l'«autorità di controllo interessata» in ragione dello stabilimento del titolare o del responsabile «sul territorio dello Stato membro» (Regolamento, art. 4), n. 22.</w:t>
      </w:r>
    </w:p>
    <w:p>
      <w:pPr/>
      <w:r>
        <w:rPr/>
        <w:t>La base giuridica del trattamento nel rapporto di lavoro può fondarsi «dal diritto dell’Unione» o «dal diritto dello Stato membro cui è soggetto il titolare del trattamento» (Regolamento, art. 6), par. 3. La medesima disposizione precisa che «la finalità del trattamento è determinata in tale base giuridica» (Regolamento, art. 6), par. 3, e consente di introdurre «disposizioni specifiche» sulle «tipologie di dati oggetto del trattamento» e sugli «interessati» (Regolamento, art. 6), par. 3.</w:t>
      </w:r>
    </w:p>
    <w:p>
      <w:pPr/>
      <w:r>
        <w:rPr/>
        <w:t>Il cuore della disciplina lavoristica è l’art. 88 GDPR. Gli Stati membri «possono prevedere, con legge o tramite contratti collettivi, norme più specifiche per assicurare la protezione dei diritti e delle libertà con riguardo al trattamento dei dati personali dei dipendenti» (Regolamento, art. 88, comma 1). La norma elenca le finalità legittime: «assunzione, esecuzione del contratto di lavoro», «gestione, pianificazione e organizzazione del lavoro», «salute e sicurezza sul lavoro», «protezione della proprietà del datore di lavoro o del cliente» e «cessazione del rapporto di lavoro» (Regolamento, art. 88, comma 1).</w:t>
      </w:r>
    </w:p>
    <w:p>
      <w:pPr/>
      <w:r>
        <w:rPr/>
        <w:t>L’apertura al diritto nazionale non è incondizionata. L’art. 88, comma 2, impone che tali norme «includono misure appropriate e specifiche a salvaguardia della dignità umana, degli interessi legittimi e dei diritti fondamentali degli interessati» (Regolamento, art. 88, comma 2). La disposizione tipizza tre profili di garanzia rafforzata: «la trasparenza del trattamento», il trasferimento infragruppo e «i sistemi di monitoraggio sul posto di lavoro» (Regolamento, art. 88, comma 2).</w:t>
      </w:r>
    </w:p>
    <w:p>
      <w:pPr/>
      <w:r>
        <w:rPr/>
        <w:t>La categoria della salvaguardia della dignità del prestatore trova un fondamento anteriore nell’ordinamento interno. Il Garante ha ricordato che il luogo di lavoro «è una formazione sociale nella quale va assicurata la tutela dei diritti, delle libertà fondamentali e della dignità degli interessati» (Lavoro: le linee guida del Garante per posta elettronica e internet, p. 2), con richiamo agli «artt. 2 e 41, secondo comma, Cost.» e all'«art. 2087 cod. civ.» (Lavoro: le linee guida del Garante per posta elettronica e internet, p. 2). Nel medesimo provvedimento si osserva che le informazioni trattate riguardano «oltre all’attività lavorativa, la sfera personale e la vita privata di lavoratori e di terzi» (Lavoro: le linee guida del Garante per posta elettronica e internet, p. 2), e che il confine tra tali ambiti «può essere tracciata a volte solo con difficoltà» (Lavoro: le linee guida del Garante per posta elettronica e internet, p. 2).</w:t>
      </w:r>
    </w:p>
    <w:p>
      <w:pPr/>
      <w:r>
        <w:rPr/>
        <w:t>L’obbligo di conformare i mezzi del trattamento è tradotto in termini operativi dall’art. 25 GDPR, che impone al titolare di mettere in atto «misure tecniche e organizzative adeguate, quali la pseudonimizzazione», idonee ad attuare «i principi di protezione dei dati, quali la minimizzazione» (Regolamento, art. 25), par. 1. La notifica delle norme nazionali più specifiche alla Commissione era prevista «entro 25 maggio 2018» (Regolamento, art. 88, comma 3).</w:t>
      </w:r>
    </w:p>
    <w:p>
      <w:pPr/>
      <w:r>
        <w:rPr/>
        <w:t>Un limite di trasferibilità va segnalato: l’evidenza disponibile non fornisce la definizione testuale di «dato personale» né di «trattamento» ai sensi dell’art. 4, nn. 1 e 2, GDPR, sicché tali nozioni sono qui ricostruite solo per rinvio alle disposizioni citate. La combinazione tra art. 6, par. 3, e art. 88 conferma che il GDPR disciplina il trattamento nel lavoro rinviando al diritto nazionale e collettivo per norme più specifiche, purché corredate di garanzie di dignità e trasparenza sui sistemi di monitoraggio.</w:t>
      </w:r>
    </w:p>
    <w:p>
      <w:pPr>
        <w:pStyle w:val="Heading2"/>
      </w:pPr>
      <w:r>
        <w:rPr/>
        <w:t>Principi di liceità, minimizzazione e trasparenza</w:t>
      </w:r>
    </w:p>
    <w:p>
      <w:pPr/>
      <w:r>
        <w:rPr/>
        <w:t>Il principio di liceità dell’art. 5, par. 1, lett. a), GDPR impone che i dati siano «trattati in modo lecito, corretto e trasparente nei confronti dell’interessato» (Regolamento, art. 5), par. 1, lett. a). Nel rapporto di lavoro tale liceità assume una configurazione peculiare.</w:t>
      </w:r>
    </w:p>
    <w:p>
      <w:pPr/>
      <w:r>
        <w:rPr/>
        <w:t>La dottrina precisa che il trattamento «è lecito solo se conforme alle discipline di settore applicabili» (Ghionzoli, 2025, p. 16). La liceità del controllo a distanza non si esaurisce quindi nell’individuazione di una base giuridica ai sensi dell’art. 6 GDPR, ma richiede il rispetto della disciplina statutaria.</w:t>
      </w:r>
    </w:p>
    <w:p>
      <w:pPr/>
      <w:r>
        <w:rPr/>
        <w:t>Il collegamento normativo è tracciato dall’art. 88 GDPR, che rinvia all’art. 4 della L. 300/1970: «diversi e autonomi livelli di garanzia, costituiti in primis dal Codice della Privacy nonché dall’art. 4 della L. 300/1970 a cui l’art. 88 rinvia, in combinato disposto con gli artt. 5 e 6 GDPR» (Ghionzoli, 2025, p. 18). La liceità nel lavoro è dunque il risultato di un combinato disposto che integra la norma protezionistica generale con la regola di settore.</w:t>
      </w:r>
    </w:p>
    <w:p>
      <w:pPr/>
      <w:r>
        <w:rPr/>
        <w:t>Il principio di minimizzazione trova nel contesto lavorativo un antecedente diretto nel principio di necessità elaborato dal Garante. I sistemi informativi e i programmi informatici «devono essere configurati riducendo al minimo l´utilizzazione di dati personali e di dati identificativi» (Lavoro: le linee guida del Garante per posta elettronica e internet, art. 3). La minimizzazione, in questa lettura, opera già in fase di progettazione dei sistemi, non solo nella fase di trattamento.</w:t>
      </w:r>
    </w:p>
    <w:p>
      <w:pPr/>
      <w:r>
        <w:rPr/>
        <w:t>Sul piano operativo, il datore è chiamato a «minimizzare» l´uso di dati riferibili ai lavoratori, promuovendo ogni misura «organizzativa e tecnologica volta a prevenire il rischio di utilizzi impropri» e «da preferire rispetto all´adozione di misure «repressive»» (Lavoro: le linee guida del Garante per posta elettronica e internet, p. 5). La misura preventiva prevale sulla misura di controllo: il dato deve essere «pertinent e non eccedent» rispetto alle finalità (Lavoro: le linee guida del Garante per posta elettronica e internet, p. 3), che impone di operare «nella misura meno invasiva possibile» (Lavoro: le linee guida del Garante per posta elettronica e internet, p. 3).</w:t>
      </w:r>
    </w:p>
    <w:p>
      <w:pPr/>
      <w:r>
        <w:rPr/>
        <w:t>La trasparenza è declinata dal Garante come corollario del canone di correttezza: il trattamento «deve essere ispirato ad un canone di trasparenza, come prevede anche la disciplina di settore ( art. 4, secondo comma, Statuto dei lavoratori )» (Lavoro: le linee guida del Garante per posta elettronica e internet, p. 3). La trasparenza non è quindi solo obbligo verso l’interessato, ma si salda con l’informativa statutaria.</w:t>
      </w:r>
    </w:p>
    <w:p>
      <w:pPr/>
      <w:r>
        <w:rPr/>
        <w:t>La dimensione collettiva della trasparenza si esprime nell’obbligo di «rispettare le procedure di informazione e di consultazione di lavoratori e sindacati in relazione all´introduzione o alla modifica di sistemi automatizzati per la raccolta e l´utilizzazione dei dati» (Lavoro: le linee guida del Garante per posta elettronica e internet, p. 5). L’art. 88, comma 2, GDPR rafforza questo profilo, estendendo «la contrattazione con le parti sociali con specifico riferimento al trattamento ulteriore dei dati personali» (Ghionzoli, 2025, p. 18).</w:t>
      </w:r>
    </w:p>
    <w:p>
      <w:pPr/>
      <w:r>
        <w:rPr/>
        <w:t>Il principio di limitazione della conservazione, sancito dall’art. 5, par. 1, lett. b), che vieta trattamenti «incompatibil» con le finalità determinate (Regolamento, art. 5), par. 1, lett. b), trova un ancoraggio quantitativo nella prassi. Il Garante ha risolto un caso «sulla base del criterio del tempo di conservazione dei log di posta elettronica, che non può superare i 21 giorni» (Ghionzoli, 2025, p. 16).</w:t>
      </w:r>
    </w:p>
    <w:p>
      <w:pPr/>
      <w:r>
        <w:rPr/>
        <w:t>Il superamento di tale limite temporale produce una conseguenza qualificatoria precisa: i log conservati oltre il termine «potrebbero comportare un controllo indiretto a distanza dei lavoratori e quindi essere inquadrati ai sensi del 1° co) dell’art. 4 dello Statuto» (Ghionzoli, 2025, p. 16), in quanto «potenzialmente idonei a raccogliere anche informazioni attinenti alla sfera personale o alle opinioni dell’interessato» (Ghionzoli, 2025, p. 16). Il tempo di conservazione, dunque, non è un mero requisito di data retention: la sua violazione riclassifica lo strumento come dispositivo di controllo vietato dal comma 1.</w:t>
      </w:r>
    </w:p>
    <w:p>
      <w:pPr/>
      <w:r>
        <w:rPr/>
        <w:t>Un limite di trasferibilità va segnalato: la soglia dei 21 giorni è desunta da un singolo provvedimento risolutivo di «un caso analogo» (Ghionzoli, 2025, p. 16) e non è generalizzabile a ogni categoria di log senza verifica caso per caso delle finalità perseguite.</w:t>
      </w:r>
    </w:p>
    <w:p>
      <w:pPr>
        <w:pStyle w:val="Heading2"/>
      </w:pPr>
      <w:r>
        <w:rPr/>
        <w:t>Basi giuridiche del trattamento nel rapporto di lavoro</w:t>
      </w:r>
    </w:p>
    <w:p>
      <w:pPr/>
      <w:r>
        <w:rPr/>
        <w:t>L’articolo 6, paragrafo 1, GDPR elenca le condizioni alternative di liceità: il trattamento è lecito «solo se e nella misura in cui ricorre almeno una delle seguenti condizioni» (Regolamento, art. 6), par. 1. Nel rapporto di lavoro non tutte queste basi hanno pari rilievo.</w:t>
      </w:r>
    </w:p>
    <w:p>
      <w:pPr/>
      <w:r>
        <w:rPr/>
        <w:t>Il consenso, previsto quando «l’interessato ha espresso il consenso al trattamento dei propri dati personali per una o più specifiche finalità» (Regolamento, art. 6), par. 1, lett. a), occupa nel contesto lavorativo un ruolo residuale. La ragione risiede nello squilibrio strutturale tra le parti: la prassi in materia di videosorveglianza aveva già rilevato che «la possibilità di acquisire il consenso risulta in concreto limitata dalle caratteristiche stesse dei sistemi di rilevazione» (Provvedimento in materia di videosorveglianza, 8 aprile 2010, p. 18), imponendo di «individuare un’idonea alternativa» al consenso. Il consenso, dunque, è marginale già sul piano pratico prima ancora che sul piano della sua genuinità.</w:t>
      </w:r>
    </w:p>
    <w:p>
      <w:pPr/>
      <w:r>
        <w:rPr/>
        <w:t>Le basi principali sono altre. Il trattamento è lecito quando «è necessario all’esecuzione di un contratto di cui l’interessato è parte» (Regolamento, art. 6), par. 1, lett. b), e quando «è necessario per adempiere un obbligo legale al quale è soggetto il titolare del trattamento» (Regolamento, art. 6), par. 1, lett. c). Nel rapporto di lavoro l’esecuzione del contratto e gli obblighi di legge coprono un’ampia porzione dei trattamenti connessi alla gestione della prestazione.</w:t>
      </w:r>
    </w:p>
    <w:p>
      <w:pPr/>
      <w:r>
        <w:rPr/>
        <w:t>La terza base cardine è il legittimo interesse: il trattamento è lecito se «necessario per il perseguimento del legittimo interesse del titolare del trattamento o di terzi, a condizione che non prevalgano gli interessi o i diritti e le libertà fondamentali dell’interessato» (Regolamento, art. 6), par. 1, lett. f). Questa base incorpora un bilanciamento. Il Garante ne aveva anticipato la logica nel provvedimento sulla posta elettronica, individuando «un legittimo interesse al trattamento in applicazione della disciplina sul c.d. bilanciamento di interessi» (Lavoro: le linee guida del Garante per posta elettronica e internet, p. 9), tenendo conto «delle garanzie che lo Statuto prevede per il controllo «indiretto» a distanza presupponendo non il consenso degli interessati, ma un accordo con le rappresentanze sindacali» (Lavoro: le linee guida del Garante per posta elettronica e internet, p. 9). Il bilanciamento del legittimo interesse, quindi, si salda al presidio negoziale statutario.</w:t>
      </w:r>
    </w:p>
    <w:p>
      <w:pPr/>
      <w:r>
        <w:rPr/>
        <w:t>Le basi lett. c) ed e) non operano in via autonoma: la loro base «deve essere stabilita: a) dal diritto dell’Unione; o b) dal diritto dello Stato membro» (Regolamento, art. 6), par. 3. Questo rinvio al diritto nazionale collega l’art. 6 all’art. 88.</w:t>
      </w:r>
    </w:p>
    <w:p>
      <w:pPr/>
      <w:r>
        <w:rPr/>
        <w:t>L’art. 88 consente agli Stati membri di prevedere «con legge o tramite contratti collettivi, norme più specifiche» per la protezione dei dati dei dipendenti, tra l’altro per «esecuzione del contratto di lavoro, compreso l’adempimento degli obblighi stabiliti dalla legge o da contratti collettivi» (Regolamento, art. 88, comma 1). La dottrina legge questa disposizione come apertura negoziale: il GDPR «estende la contrattazione con le parti sociali con specifico riferimento al trattamento ulteriore dei dati personali» (Ghionzoli, 2025, p. 18), in una norma che «può aprire ulteriori e interessanti opportunità di tutela e generare strumenti negoziali» (Ghionzoli, 2025, p. 18). La liceità del trattamento va inoltre verificata «secondo cui il trattamento è lecito solo se conforme alle discipline di settore applicabili» (Ghionzoli, 2025, p. 16).</w:t>
      </w:r>
    </w:p>
    <w:p>
      <w:pPr/>
      <w:r>
        <w:rPr/>
        <w:t>Il ruolo della contrattazione collettiva è valorizzato come sede di tutela: l’analisi propone «the establishment (through collective bargaining and/or legislation) of a trade union representative for data protection» (Ingrao, 2024), integrando l’art. 4 dello Statuto con il quadro di protezione dei dati. La base giuridica, dunque, non si esaurisce nella scelta tra le condizioni dell’art. 6, ma è mediata dal filtro negoziale che l’art. 88 e la lett. b) dell’art. 9, par. 2, richiamano, laddove il trattamento è ammesso «nella misura in cui sia autorizzato dal diritto dell’Unione o degli Stati membri o da un contratto collettivo» (Regolamento, art. 9), par. 2, lett. b).</w:t>
      </w:r>
    </w:p>
    <w:p>
      <w:pPr>
        <w:pStyle w:val="Heading2"/>
      </w:pPr>
      <w:r>
        <w:rPr/>
        <w:t>Accountability e valutazione d'impatto (DPIA)</w:t>
      </w:r>
    </w:p>
    <w:p>
      <w:pPr/>
      <w:r>
        <w:rPr/>
        <w:t>&lt;h2&gt;Accountability e valutazione d’impatto (DPIA)&lt;/h2&gt;</w:t>
      </w:r>
    </w:p>
    <w:p>
      <w:pPr/>
      <w:r>
        <w:rPr/>
        <w:t>Il principio di accountability sposta sul titolare il baricentro della conformità. La dottrina lo descrive come dovere di individuare le misure «più idonee, per il raggiungimento dell’obiettivo della gestione del rischio, derivante dal trattamento dei dati personali», con l’onere di «risponderne, qualora sorgano problemi» (D’Alfonso, 2022, p. 21). L’accountability è così ricostruita come passaggio «dalla regola alla auto-regolazione» (D’Alfonso, 2022, p. 21).</w:t>
      </w:r>
    </w:p>
    <w:p>
      <w:pPr/>
      <w:r>
        <w:rPr/>
        <w:t>Questa auto-regolazione non è libera scelta discrezionale, ma obbligo giuridicamente strutturato quando il trattamento presenta rischi elevati. L’art. 35 GDPR impone la valutazione d’impatto «quando un tipo di trattamento, allorché prevede in particolare l’uso di nuove tecnologie, considerati la natura, l’oggetto, il contesto e le finalità del trattamento, può presentare un rischio elevato per i diritti e le libertà delle persone fisiche» (Regolamento, art. 35), par. 1. Il monitoraggio tecnologico dei lavoratori ricade tipicamente in tale fattispecie, proprio per il ricorso a strumenti tecnologici capaci di controllo pervasivo.</w:t>
      </w:r>
    </w:p>
    <w:p>
      <w:pPr/>
      <w:r>
        <w:rPr/>
        <w:t>La DPIA è dovere preventivo: il titolare la effettua «prima di procedere al trattamento» (Regolamento, art. 35), par. 1. Una singola valutazione «può esaminare un insieme di trattamenti simili che presentano rischi elevati analoghi» (Regolamento, art. 35), par. 1. È previsto inoltre un obbligo di consultazione interna, poiché il titolare «si consulta con il responsabile della protezione dei dati, qualora ne sia designato uno» (Regolamento, art. 35), par. 2.</w:t>
      </w:r>
    </w:p>
    <w:p>
      <w:pPr/>
      <w:r>
        <w:rPr/>
        <w:t>La valutazione non si esaurisce nel momento iniziale. Il titolare «procede a un riesame per valutare se il trattamento dei dati personali sia effettuato conformemente alla valutazione d’impatto sulla protezione dei dati almeno quando insorgono variazioni del rischio rappresentato dalle attività relative al trattamento» (Regolamento, art. 35), par. 11. La gestione del rischio è quindi dinamica e ciclica, coerente con la logica di responsabilizzazione continua sottesa all’accountability.</w:t>
      </w:r>
    </w:p>
    <w:p>
      <w:pPr/>
      <w:r>
        <w:rPr/>
        <w:t>Sul piano applicativo, tuttavia, l’evidenza segnala una formalizzazione carente. L’indagine sugli accordi aziendali rileva che «non viene previsto che la Data Protection Impact Assessment (DPIA) sia condivisa con le rappresentanze dei lavoratori né che la sua elaborazione avvenga con il loro necessario coinvolgimento» (Peruzzi, 2025, p. 22). L’autore qualifica ciò come «una lacuna significativa» (Peruzzi, 2025, p. 22).</w:t>
      </w:r>
    </w:p>
    <w:p>
      <w:pPr/>
      <w:r>
        <w:rPr/>
        <w:t>Il divario è misurato rispetto a un modello normativo più avanzato: la «direttiva piattaforme 2024/2831 richiede – pur limitatamente a quel settore – la messa a disposizione della valutazione d’impatto ai rappresentanti dei lavoratori, modellando un obbligo di trasparenza preventiva e partecipata» (Peruzzi, 2025, p. 22). La contrattazione collettiva analizzata non raggiunge «una integrazione partecipata dei processi di valutazione del rischio» (Peruzzi, 2025, p. 22).</w:t>
      </w:r>
    </w:p>
    <w:p>
      <w:pPr/>
      <w:r>
        <w:rPr/>
        <w:t>Anche laddove il tema emerge, il trattamento dei dati personali «emerge solo in via marginale negli accordi integrativi/protocolli analizzati» (Peruzzi, 2025, p. 22), con riferimenti generici quali l'«affidabilità e verificabilità dei dati» (Peruzzi, 2025, p. 22). È solo negli accordi ex art. 4 St. lav. che la questione è «affrontato […] in modo più strutturato» (Peruzzi, 2025, p. 22), senza però colmare l’assenza del coinvolgimento partecipato.</w:t>
      </w:r>
    </w:p>
    <w:p>
      <w:pPr/>
      <w:r>
        <w:rPr/>
        <w:t>Un limite di trasferibilità va segnalato: la carente formalizzazione delle DPIA è desunta da un’indagine su specifici accordi in materia di intelligenza artificiale, e non è generalizzabile a ogni contesto aziendale senza verifica diretta. Ne emerge che accountability e DPIA costituiscono obblighi cardine del trattamento connesso al monitoraggio, ma la loro attuazione partecipata resta disomogenea, con la direttiva 2024/2831 quale unico riferimento vincolante di trasparenza preventiva verso i rappresentanti dei lavoratori.</w:t>
      </w:r>
    </w:p>
    <w:p>
      <w:pPr>
        <w:pStyle w:val="Heading2"/>
      </w:pPr>
      <w:r>
        <w:rPr/>
        <w:t>Il coordinamento tra GDPR e Codice privacy (D.Lgs. 196/2003)</w:t>
      </w:r>
    </w:p>
    <w:p>
      <w:pPr/>
      <w:r>
        <w:rPr/>
        <w:t>Il coordinamento normativo si regge su un rinvio esplicito. L’art. 114 del Codice privacy, rubricato «Garanzie in materia di controllo a distanza», dispone che «Resta fermo quanto disposto dall’articolo 4 della legge 20 maggio 1970, n. 300» (Decreto legislativo 30 giugno 2003, n. 196, art. 114, comma 1). La norma non detta una propria disciplina sostanziale del controllo a distanza, ma opera come clausola di salvaguardia che mantiene integra la regola statutaria.</w:t>
      </w:r>
    </w:p>
    <w:p>
      <w:pPr/>
      <w:r>
        <w:rPr/>
        <w:t>Il rinvio è reciproco. Sul versante dello Statuto, l’art. 4, comma 3, ammette l’utilizzabilità dei dati «nel rispetto di quanto disposto dal decreto legislativo 30 giugno 2003, n. 196», come richiamato dalla dottrina che ancora la liceità del trattamento alle discipline di settore (Ghionzoli, 2025, p. 16). I requisiti di liceità nel rapporto di lavoro «sono quelli stabiliti dall’art. 4 L. 20 maggio 1970, n. 300, richiamato dagli artt. 113 e 114 del Codice Privacy» (Ghionzoli, 2025, p. 16).</w:t>
      </w:r>
    </w:p>
    <w:p>
      <w:pPr/>
      <w:r>
        <w:rPr/>
        <w:t>Questa architettura di rinvii genera una gerarchia di specialità. Le disposizioni statutarie «recano tutele più specifiche rispetto all’art. 88 GDPR» (Ghionzoli, 2025, p. 16), sicché il diritto interno non è recessivo rispetto al Regolamento, ma prevale in quanto norma di maggior tutela ammessa dallo stesso art. 88 GDPR.</w:t>
      </w:r>
    </w:p>
    <w:p>
      <w:pPr/>
      <w:r>
        <w:rPr/>
        <w:t>L’adeguamento del Codice al GDPR, operato dopo il 2018, non ha eliso il rinvio all’art. 4. La disposizione dell’art. 114 continua a fissare, «tra le condizioni di liceità del trattamento, il rispetto di quanto previsto dall’art. 4 della Legge n. 300 del 1970» (Ghionzoli, 2025, p. 17). Ne discende che i sistemi da cui possa derivare anche solo la possibilità di controllo a distanza «possono essere utilizzati solo per scopi legati alla produzione e all’organizzazione, per la sicurezza del lavoro e dei beni dell’azienda» (Ghionzoli, 2025, p. 17), previo accordo sindacale o autorizzazione ispettiva.</w:t>
      </w:r>
    </w:p>
    <w:p>
      <w:pPr/>
      <w:r>
        <w:rPr/>
        <w:t>L’esito è un sistema a livelli autonomi. La dottrina individua «diversi e autonomi livelli di garanzia, costituiti in primis dal Codice della Privacy nonché dall’art. 4 della L. 300/1970 a cui l’art. 88 rinvia, in combinato disposto con gli artt. 5 e 6 GDPR» (Ghionzoli, 2025, p. 18). Il GDPR, in questa lettura, «estende la contrattazione con le parti sociali con specifico riferimento al trattamento ulteriore dei dati personali» (art. 88, comma 2), configurando «una norma garantista, che rafforza l’art. 23, 3° co), del D.lgs 151/2015 (già art. 4 dello Statuto)» (Ghionzoli, 2025, p. 18).</w:t>
      </w:r>
    </w:p>
    <w:p>
      <w:pPr/>
      <w:r>
        <w:rPr/>
        <w:t>Il coordinamento con le discipline di settore è affermato anche dall’autorità di controllo. Il Garante riconosce che «Alcune disposizioni di settore, fatte salve dal Codice, prevedono specifici divieti o limiti, come quelli posti dallo Statuto dei lavoratori sul controllo a distanza (artt. 113, 114 e 184, comma 3, del Codice; artt. 4 e 8 l. 20 maggio 1970, n. 300)» (Lavoro: le linee guida del Garante per posta elettronica e internet, p. 2). La disciplina di protezione dei dati «va coordinata con regole di settore riguardanti il rapporto di lavoro e il connesso utilizzo di tecnologie, nelle quali è fatta salva o richiamata espressamente» (Lavoro: le linee guida del Garante per posta elettronica e internet, p. 2).</w:t>
      </w:r>
    </w:p>
    <w:p>
      <w:pPr/>
      <w:r>
        <w:rPr/>
        <w:t>Il combinato disposto opera dunque per reciproci richiami: il Codice fa salvo lo Statuto, lo Statuto rinvia al Codice, e l’art. 88 GDPR ammette entrambi come norme più specifiche. Il presidio penale conferma la solidità del rinvio: la lacuna aperta dalla soppressione del riferimento all’art. 4 nell’art. 38 fu colmata «con il combinato disposto dei suoi articoli 114 e 171» (Corte di Cassazione, sezione III penale, sentenza 30 gennaio 2014, n. 4331, p. 1). Il GDPR integra, senza sostituire, le garanzie preesistenti dello Statuto e del Codice.</w:t>
      </w:r>
    </w:p>
    <w:p>
      <w:pPr>
        <w:pStyle w:val="Heading2"/>
      </w:pPr>
      <w:r>
        <w:rPr/>
        <w:t>Strumenti di lavoro e controlli difensivi</w:t>
      </w:r>
    </w:p>
    <w:p>
      <w:pPr/>
      <w:r>
        <w:rPr/>
        <w:t>L’art. 4, comma 2, sottrae al regime autorizzatorio del comma 1 «gli strumenti utilizzati dal lavoratore per rendere la prestazione lavorativa e gli strumenti di registrazione degli accessi e delle presenze» (Legge 20 maggio 1970, n. 300, art. 4, comma 2). La deroga riguarda gli strumenti di lavoro in senso proprio, non ogni dispositivo idoneo al controllo.</w:t>
      </w:r>
    </w:p>
    <w:p>
      <w:pPr/>
      <w:r>
        <w:rPr/>
        <w:t>L’esenzione procedurale non elimina però ogni vincolo. Le informazioni raccolte sono utilizzabili «a condizione che sia data al lavoratore adeguata informazione delle modalità d’uso degli strumenti e di effettuazione dei controlli» (Legge 20 maggio 1970, n. 300, art. 4, comma 3). L’obbligo di informativa opera anche per gli strumenti di lavoro esentati dall’accordo sindacale.</w:t>
      </w:r>
    </w:p>
    <w:p>
      <w:pPr/>
      <w:r>
        <w:rPr/>
        <w:t>L’assenza di tale informativa preclude l’uso disciplinare dei dati. La Cassazione ha rilevato che, in difetto di «adeguata informazione delle modalità d’uso degli strumenti e di effettuazione dei controlli», il datore potrebbe «acquisire per lungo tempo ed ininterrottamente ogni tipologia di dato» (Corte di Cassazione, sezione lavoro, sentenza 22 settembre 2021, n. 25732, p. 9). L’informativa è dunque la condizione dell’utilizzabilità probatoria.</w:t>
      </w:r>
    </w:p>
    <w:p>
      <w:pPr/>
      <w:r>
        <w:rPr/>
        <w:t>I controlli difensivi seguono un regime distinto. La giurisprudenza li definisce come controlli, «anche tecnologici», «finalizzati alla tutela di beni estranei al rapporto di lavoro o ad evitare comportamenti illeciti» (Corte di Cassazione, sezione lavoro, sentenza 22 settembre 2021, n. 25732, p. 10). La loro funzione è la protezione del patrimonio aziendale, non la sorveglianza sulla prestazione.</w:t>
      </w:r>
    </w:p>
    <w:p>
      <w:pPr/>
      <w:r>
        <w:rPr/>
        <w:t>Il primo presupposto è il fondato sospetto. I controlli difensivi in senso stretto presuppongono «il «fondato sospetto» del datore di lavoro circa comportamenti illeciti di uno o più dipendenti» (Corte di Cassazione, sezione lavoro, ordinanza 3 giugno 2024, n. 15391, p. 4). Il sospetto deve preesistere all’atto di verifica.</w:t>
      </w:r>
    </w:p>
    <w:p>
      <w:pPr/>
      <w:r>
        <w:rPr/>
        <w:t>Da qui il secondo presupposto, temporale. Il controllo è legittimo «sempre che il controllo riguardi dati acquisiti successivamente all’insorgere del sospetto» (Corte di Cassazione, sezione lavoro, sentenza 22 settembre 2021, n. 25732, p. 10). La verifica ex post è ammessa; la raccolta indiscriminata anteriore al sospetto no.</w:t>
      </w:r>
    </w:p>
    <w:p>
      <w:pPr/>
      <w:r>
        <w:rPr/>
        <w:t>Il confine è tracciato con precisione dalla Corte: il controllo difensivo «non dovrebbe riferirsi all’esame ed all’analisi di informazioni acquisite in violazione delle prescrizioni di cui all’art. 4 St.lav.» (Corte di Cassazione, sezione lavoro, sentenza 22 settembre 2021, n. 25732, p. 9). Ammettere il contrario significherebbe che «l’area del controllo difensivo si estenderebbe a dismisura, con conseguente annientamento della valenza delle predette prescrizioni» (Corte di Cassazione, sezione lavoro, sentenza 22 settembre 2021, n. 25732, p. 9).</w:t>
      </w:r>
    </w:p>
    <w:p>
      <w:pPr/>
      <w:r>
        <w:rPr/>
        <w:t>Il rischio è l’aggiramento delle garanzie statutarie mediante etichettatura ex post. Il datore potrebbe raccogliere ogni dato senza informativa «e, poi, invocare la natura mirata (ex post) del controllo incentrato sull’esame ed analisi di quei dati» (Corte di Cassazione, sezione lavoro, sentenza 22 settembre 2021, n. 25732, p. 10). La successiva «difensività» del controllo non sana l’illegittimità della raccolta anteriore al sospetto.</w:t>
      </w:r>
    </w:p>
    <w:p>
      <w:pPr/>
      <w:r>
        <w:rPr/>
        <w:t>Il terzo presupposto è il bilanciamento. Deve essere assicurato «un corretto bilanciamento tra le esigenze di protezione di interessi e beni aziendali, correlate alla libertà di iniziativa economica, rispetto alle imprescindibili tutele della dignità e della riservatezza del lavoratore» (Corte di Cassazione, sezione lavoro, sentenza 22 settembre 2021, n. 25732, p. 10). Il criterio è ricostruito «mediante il richiamo ai principi di buona fede e correttezza» (Corte di Cassazione, sezione lavoro, sentenza 22 settembre 2021, n. 25732, p. 6).</w:t>
      </w:r>
    </w:p>
    <w:p>
      <w:pPr/>
      <w:r>
        <w:rPr/>
        <w:t>Il bilanciamento impone selettività. La Corte distingue l’incarico a un’agenzia investigativa, «circoscritto», dai controlli tecnologici che tracciano «tutti i dati relativi all’attività di lavoro svolta dall’insieme dei dipendenti»: questi sarebbero «privi di ogni selettività» e «non orientati specificamente sull’attività illecita» (Corte di Cassazione, sezione lavoro, sentenza 22 settembre 2021, n. 25732, p. 7). Il controllo generalizzato e preventivo non è difensivo.</w:t>
      </w:r>
    </w:p>
    <w:p>
      <w:pPr/>
      <w:r>
        <w:rPr/>
        <w:t>Coerente questa lettura restrittiva. La Cassazione ha escluso la natura difensiva di un sistema GPS «predisposto prima ancora dell’emergere di qualsiasi sospetto» e diretto ad «accertare l’inadempimento delle ordinarie obbligazioni contrattuali» (Corte di Cassazione, sezione lavoro, sentenza 5 ottobre 2016, n. 19922, p. 3). La violazione degli obblighi contrattuali genera un «rischio naturale correlato all’attività imprenditoriale che la legge non consente di limitare» attraverso sistemi invasivi (Corte di Cassazione, sezione lavoro, sentenza 5 ottobre 2016, n. 19922, p. 2).</w:t>
      </w:r>
    </w:p>
    <w:p>
      <w:pPr/>
      <w:r>
        <w:rPr/>
        <w:t>La disciplina si salda infine con i tempi di conservazione. Il Garante ha risolto un caso «sulla base del criterio del tempo di conservazione dei log di posta elettronica, che non può superare i 21 giorni» (Ghionzoli, 2025, p. 16). Oltre tale termine i log «potrebbero comportare un controllo indiretto a distanza dei lavoratori e quindi essere inquadrati ai sensi del 1° co) dell’art. 4 dello Statuto» (Ghionzoli, 2025, p. 16).</w:t>
      </w:r>
    </w:p>
    <w:p>
      <w:pPr/>
      <w:r>
        <w:rPr/>
        <w:t>La conservazione prolungata riclassifica lo strumento di lavoro come dispositivo di controllo soggetto al comma 1. Il tempo di conservazione diventa così la cerniera tra il regime dell’informativa e quello, più severo, del controllo a distanza vietato in difetto di accordo o autorizzazione.</w:t>
      </w:r>
    </w:p>
    <w:p>
      <w:pPr/>
      <w:r>
        <w:rPr/>
        <w:t>Un limite va segnalato: la soglia dei 21 giorni è desunta da un singolo provvedimento su «un caso analogo» (Ghionzoli, 2025, p. 16) e non è generalizzabile a ogni categoria di log senza verifica delle finalità. Ne consegue che, mancate le condizioni del controllo difensivo, l’utilizzabilità dei dati «andrà condotta alla stregua della L. n. 300 del 1970, art. 4, in particolare dei suoi commi 2 e 3» (Corte di Cassazione, sezione lavoro, sentenza 22 settembre 2021, n. 25732, p. 10).</w:t>
      </w:r>
    </w:p>
    <w:p>
      <w:pPr>
        <w:pStyle w:val="Heading2"/>
      </w:pPr>
      <w:r>
        <w:rPr/>
        <w:t>Videosorveglianza sul luogo di lavoro</w:t>
      </w:r>
    </w:p>
    <w:p>
      <w:pPr/>
      <w:r>
        <w:rPr/>
        <w:t>La videosorveglianza sul luogo di lavoro rientra nel campo di applicazione dell’art. 4 St. lav., che disciplina gli «impianti audiovisivi e gli altri strumenti dai quali derivi anche la possibilità di controllo a distanza dell’attività dei lavoratori» (Legge 20 maggio 1970, n. 300, art. 4, comma 1). Le telecamere sono così attratte nel regime autorizzatorio dei dispositivi potenzialmente idonei al controllo remoto.</w:t>
      </w:r>
    </w:p>
    <w:p>
      <w:pPr/>
      <w:r>
        <w:rPr/>
        <w:t>La legittimità dell’installazione presuppone anzitutto una finalità qualificata. Gli impianti «possono essere impiegati esclusivamente per esigenze organizzative e produttive, per la sicurezza del lavoro e per la tutela del patrimonio aziendale» (Legge 20 maggio 1970, n. 300, art. 4, comma 1). Fuori da tali scopi tipici, la ripresa è vietata.</w:t>
      </w:r>
    </w:p>
    <w:p>
      <w:pPr/>
      <w:r>
        <w:rPr/>
        <w:t>Il Garante traduce questo limite in un divieto operativo: nelle attività di sorveglianza occorre rispettare «il divieto di controllo a distanza dell’attività lavorativa», sicché «è vietata l’installazione di apparecchiature specificatamente preordinate alla predetta finalità» (Provvedimento in materia di videosorveglianza, 8 aprile 2010, p. 10). Non devono quindi essere effettuate riprese per verificare «l’osservanza dei doveri di diligenza stabiliti per il rispetto dell’orario di lavoro e la correttezza nell’esecuzione della prestazione lavorativa (ad es. orientando la telecamera sul badge)» (Provvedimento in materia di videosorveglianza, 8 aprile 2010, p. 10).</w:t>
      </w:r>
    </w:p>
    <w:p>
      <w:pPr/>
      <w:r>
        <w:rPr/>
        <w:t>L’orientamento delle telecamere è dunque un parametro di liceità: puntare l’obiettivo sul badge o sulla postazione con finalità di controllo della prestazione integra l’installazione vietata.</w:t>
      </w:r>
    </w:p>
    <w:p>
      <w:pPr/>
      <w:r>
        <w:rPr/>
        <w:t>Quando invece la videosorveglianza «è resa necessaria da esigenze organizzative o produttive, ovvero è richiesta per la sicurezza del lavoro» (Provvedimento in materia di videosorveglianza, 8 aprile 2010, p. 10), subentra il presidio procedurale statutario. Gli impianti «possono essere installati previo accordo collettivo stipulato dalla rappresentanza sindacale unitaria o dalle rappresentanze sindacali aziendali» (Legge 20 maggio 1970, n. 300, art. 4, comma 1). In mancanza di accordo, «gli impianti e gli strumenti di cui al primo periodo possono essere installati previa autorizzazione delle sede territoriale dell’Ispettorato nazionale del lavoro» (Legge 20 maggio 1970, n. 300, art. 4, comma 1).</w:t>
      </w:r>
    </w:p>
    <w:p>
      <w:pPr/>
      <w:r>
        <w:rPr/>
        <w:t>Il Garante conferma la doppia condizione: l’installazione richiede il rispetto «oltre che della disciplina in materia di protezione dei dati personali, anche delle altre disposizioni dell’ordinamento applicabili», tra cui quelle «sul controllo a distanza dei lavoratori» (Provvedimento in materia di videosorveglianza, 8 aprile 2010, p. 3). La liceità della videosorveglianza dipende così dal rispetto congiunto delle garanzie lavoristiche e della normativa privacy, non dall’una alternativa all’altra.</w:t>
      </w:r>
    </w:p>
    <w:p>
      <w:pPr/>
      <w:r>
        <w:rPr/>
        <w:t>Sul piano privacy, il titolare deve assolvere l’informativa e, per i trattamenti che «presentano rischi specifici per i diritti e le libertà fondamentali degli interessati», sottoporli a verifica preliminare (Provvedimento in materia di videosorveglianza, 8 aprile 2010, p. 19), oltre ad «adottare le misure di sicurezza a protezione dei dati registrati tramite impianti di videosorveglianza» (Provvedimento in materia di videosorveglianza, 8 aprile 2010, p. 19).</w:t>
      </w:r>
    </w:p>
    <w:p>
      <w:pPr/>
      <w:r>
        <w:rPr/>
        <w:t>L’inosservanza del presidio procedurale è sanzionata già a livello di mera installazione. Il Tribunale di Lodi ha condannato il legale rappresentante di una s.n.c. «per avere installato un impianto audiovisivo di controllo a distanza dei lavoratori delle casse del suo supermercato senza accordo con le rappresentanze sindacali e senza autorizzazione dell’Ispettorato del lavoro» (Cass. pen., sez. III, 30 gennaio 2014, n. 4331) (Corte di Cassazione, sezione III penale, sentenza 30 gennaio 2014, n. 4331, p. 1). Il ricorso sosteneva che «insufficiente sarebbe a integrare il reato la installazione dell’impianto, essendo necessaria anche la verifica della sua idoneità a cagionare concrete conseguenze dannose ai lavoratori» (Corte di Cassazione, sezione III penale, sentenza 30 gennaio 2014, n. 4331, p. 1).</w:t>
      </w:r>
    </w:p>
    <w:p>
      <w:pPr/>
      <w:r>
        <w:rPr/>
        <w:t>Un limite di trasferibilità va segnalato: la pronuncia n. 4331/2014 applica il testo previgente dell’art. 4, comma 2, il cui riferimento sanzionatorio all’art. 38 è stato inciso dalle riforme successive, sicché il quadro punitivo attuale va ricostruito alla luce della nuova formulazione. Resta però fermo che la videosorveglianza collocata sulle casse senza accordo né autorizzazione integra l’installazione illegittima di un impianto di controllo a distanza.</w:t>
      </w:r>
    </w:p>
    <w:p>
      <w:pPr>
        <w:pStyle w:val="Heading2"/>
      </w:pPr>
      <w:r>
        <w:rPr/>
        <w:t>Posta elettronica, internet e dispositivi aziendali</w:t>
      </w:r>
    </w:p>
    <w:p>
      <w:pPr/>
      <w:r>
        <w:rPr/>
        <w:t>Il controllo sull’utilizzo di posta elettronica e Internet è possibile perché tali strumenti generano tracce: l’utilizzo di Internet «può infatti formare oggetto di analisi, profilazione e integrale ricostruzione mediante elaborazione di log file della navigazione web ottenuti, ad esempio, da un proxy server» (Lavoro: le linee guida del Garante per posta elettronica e internet, p. 1). Anche i servizi di posta elettronica sono «parimenti suscettibili» di tracciamento «attraverso la tenuta di log file di traffico e-mail» (Lavoro: le linee guida del Garante per posta elettronica e internet, p. 1).</w:t>
      </w:r>
    </w:p>
    <w:p>
      <w:pPr/>
      <w:r>
        <w:rPr/>
        <w:t>Da tali potenzialità deriva la qualificazione del fenomeno come controllo preterintenzionale. Il datore che ricorra a sistemi resisi «necessari per la sicurezza sul lavoro» può avvalersi legittimamente, «nel rispetto dello Statuto dei lavoratori (art. 4, comma 2), di sistemi che consentono indirettamente un controllo a distanza (c.d. controllo preterintenzionale)» (Lavoro: le linee guida del Garante per posta elettronica e internet, p. 5). Il relativo trattamento di dati «può risultare lecito» anche «in presenza di attività di controllo discontinue» (Lavoro: le linee guida del Garante per posta elettronica e internet, p. 5).</w:t>
      </w:r>
    </w:p>
    <w:p>
      <w:pPr/>
      <w:r>
        <w:rPr/>
        <w:t>Il perno delle linee guida del 2007 è il principio di necessità, «secondo cui i sistemi informativi e i programmi informatici devono essere configurati riducendo al minimo l’utilizzazione di dati personali e di dati identificativi» (Lavoro: le linee guida del Garante per posta elettronica e internet, p. 2). Il principio si traduce in misure tecniche: la «configurazione di sistemi o utilizzo di filtri che prevengano determinate operazioni», come l’accesso a siti inseriti in una «black list» (Lavoro: le linee guida del Garante per posta elettronica e internet, p. 6).</w:t>
      </w:r>
    </w:p>
    <w:p>
      <w:pPr/>
      <w:r>
        <w:rPr/>
        <w:t>La minimizzazione impone inoltre il ricorso a dati aggregati o anonimi: il «trattamento di dati in forma anonima o tale da precludere l’immediata identificazione di utenti mediante loro opportune aggregazioni (ad es., con riguardo ai file di log riferiti al traffico web, su base collettiva o per gruppi sufficientemente ampi di lavoratori)» (Lavoro: le linee guida del Garante per posta elettronica e internet, p. 6).</w:t>
      </w:r>
    </w:p>
    <w:p>
      <w:pPr/>
      <w:r>
        <w:rPr/>
        <w:t>La conservazione dei dati è vincolata alla finalità. Il Garante ammette l'«eventuale conservazione nel tempo dei dati strettamente limitata al perseguimento di finalità organizzative, produttive e di sicurezza» (Lavoro: le linee guida del Garante per posta elettronica e internet, p. 6). Questo criterio finalistico trova nel GDPR il proprio ancoraggio quantitativo attraverso l’obbligo di informare l’interessato sul «periodo di conservazione dei dati personali oppure, se non è possibile, i criteri utilizzati per determinare tale periodo» (Regolamento, art. 13), par. 2, lett. a).</w:t>
      </w:r>
    </w:p>
    <w:p>
      <w:pPr/>
      <w:r>
        <w:rPr/>
        <w:t>La prassi ha fissato una soglia numerica per i log di posta. Il Garante ha risolto un caso «sulla base del criterio del tempo di conservazione dei log di posta elettronica, che non può superare i 21 giorni» (Ghionzoli, 2025, p. 16). Oltre tale termine i log «potrebbero comportare un controllo indiretto a distanza dei lavoratori e quindi essere inquadrati ai sensi del 1° co) dell’art. 4 dello Statuto» (Ghionzoli, 2025, p. 16), essendo «potenzialmente idonei a raccogliere anche informazioni attinenti alla sfera personale o alle opinioni dell’interessato» (Ghionzoli, 2025, p. 16).</w:t>
      </w:r>
    </w:p>
    <w:p>
      <w:pPr/>
      <w:r>
        <w:rPr/>
        <w:t>Un limite va segnalato: la soglia dei 21 giorni è desunta da un singolo provvedimento risolutivo di «un caso analogo» (Ghionzoli, 2025, p. 16) e non è generalizzabile a ogni categoria di log senza verifica delle finalità.</w:t>
      </w:r>
    </w:p>
    <w:p>
      <w:pPr/>
      <w:r>
        <w:rPr/>
        <w:t>La legittimità del controllo dipende infine dalla trasparenza e dal coinvolgimento dei rappresentanti. Il Garante prescrive ai datori di lavoro l’onere «di specificare le modalità di utilizzo della posta elettronica e della rete Internet», indicando «se, in che misura e con quali modalità vengano effettuati controlli» (Lavoro: le linee guida del Garante per posta elettronica e internet, p. 9). Sul versante collettivo, resta «ferma la necessità di rispettare le procedure di informazione e di consultazione di lavoratori e sindacati in relazione all’introduzione o alla modifica di sistemi automatizzati per la raccolta e l’utilizzazione dei dati» (Lavoro: le linee guida del Garante per posta elettronica e internet, p. 5).</w:t>
      </w:r>
    </w:p>
    <w:p>
      <w:pPr/>
      <w:r>
        <w:rPr/>
        <w:t>La disciplina si completa con l’adozione e pubblicizzazione «di un disciplinare interno» (Lavoro: le linee guida del Garante per posta elettronica e internet, p. 10) e con misure organizzative preventive, tra cui l'«attenta valutazione dell’impatto sui diritti dei lavoratori» e l’individuazione preventiva dei lavoratori cui «è accordato l’utilizzo della posta elettronica e dell’accesso a Internet» (Lavoro: le linee guida del Garante per posta elettronica e internet, p. 10).</w:t>
      </w:r>
    </w:p>
    <w:p>
      <w:pPr>
        <w:pStyle w:val="Heading2"/>
      </w:pPr>
      <w:r>
        <w:rPr/>
        <w:t>Geolocalizzazione, biometria e nuove tecnologie</w:t>
      </w:r>
    </w:p>
    <w:p>
      <w:pPr/>
      <w:r>
        <w:rPr/>
        <w:t xml:space="preserve">Il controllo satellitare della prestazione lavorativa è ricondotto senza esitazioni all’art. 4 dello Statuto. Nel caso deciso dalla Cassazione, il sistema GPS installato nelle vetture aziendali, collegato al sistema </w:t>
      </w:r>
      <w:r>
        <w:rPr>
          <w:i/>
        </w:rPr>
        <w:t>patrol manager</w:t>
      </w:r>
      <w:r>
        <w:rPr/>
        <w:t>, «costituivano il controllo a distanza dei lavoratori e rientravano nell’ambito di applicabilità dell’art. 4 l. n. 300/1970» (Corte di Cassazione, sezione lavoro, sentenza 5 ottobre 2016, n. 19922, p. 1).</w:t>
      </w:r>
    </w:p>
    <w:p>
      <w:pPr/>
      <w:r>
        <w:rPr/>
        <w:t>La qualificazione dipende dalla natura pervasiva dello strumento. Il GPS installato ex ante consente «un controllo a distanza dell’ordinaria prestazione lavorativa, non la tutela di beni estranei al rapporto di lavoro» (Corte di Cassazione, sezione lavoro, sentenza 5 ottobre 2016, n. 19922, p. 2), sicché non è invocabile la deroga difensiva quando le informazioni raccolte servono ad accertare l’inadempimento delle ordinarie obbligazioni contrattuali.</w:t>
      </w:r>
    </w:p>
    <w:p>
      <w:pPr/>
      <w:r>
        <w:rPr/>
        <w:t>Il vizio genetico è temporale: il sistema «è stato predisposto ex ante ed in via generale ben prima che si potessero avere sospetti su una eventuale violazione da parte del lavoratore» (Corte di Cassazione, sezione lavoro, sentenza 5 ottobre 2016, n. 19922, p. 2). Gli accordi sindacali del 2009 avevano peraltro escluso l’uso del sistema per il controllo dell’attività lavorativa, pur autorizzandolo «per ragioni di sicurezza in quanto richiesto dalla Questura di Rovigo» (Corte di Cassazione, sezione lavoro, sentenza 5 ottobre 2016, n. 19922, p. 2). L’uso in violazione dei limiti pattuiti rende i dati inutilizzabili come fonti di prova.</w:t>
      </w:r>
    </w:p>
    <w:p>
      <w:pPr/>
      <w:r>
        <w:rPr/>
        <w:t xml:space="preserve">La geolocalizzazione impone poi un requisito di attuazione differenziata per ciascun dispositivo. La Cassazione ha distinto la posizione del computer palmare, per cui l’azienda aveva dimostrato «il rispetto della disposizione di cui al comma 3 dell’art. 4 cit.» (Corte di Cassazione, sezione lavoro, ordinanza 3 giugno 2024, n. 15391, p. 1), da quella del </w:t>
      </w:r>
      <w:r>
        <w:rPr>
          <w:i/>
        </w:rPr>
        <w:t>telepass</w:t>
      </w:r>
      <w:r>
        <w:rPr/>
        <w:t>, rispetto al quale «la società non aveva dato prova di aver rispettato gli adempimenti indicati» (Corte di Cassazione, sezione lavoro, ordinanza 3 giugno 2024, n. 15391, p. 1).</w:t>
      </w:r>
    </w:p>
    <w:p>
      <w:pPr/>
      <w:r>
        <w:rPr/>
        <w:t>La ragione è espressa in termini generali dal Collegio: «proprio in ragione all’eccezionale deroga che la norma prevede in tema di utilizzabilità dei dati acquisiti con tali strumenti per «tutti i fini connessi ai rapporto di lavoro», è necessario che la condizione indicata dalla norma sia attuata per ciascuno strumento» (Corte di Cassazione, sezione lavoro, ordinanza 3 giugno 2024, n. 15391, p. 4). L’informativa non si presume estesa: va data «adeguata informazione delle modalità d’uso degli strumenti e di effettuazione» dei controlli per ogni singolo dispositivo (Corte di Cassazione, sezione lavoro, ordinanza 3 giugno 2024, n. 15391, p. 6).</w:t>
      </w:r>
    </w:p>
    <w:p>
      <w:pPr/>
      <w:r>
        <w:rPr/>
        <w:t>I dati biometrici richiedono una tutela ulteriore. Il Garante li assoggetta a verifica preliminare, poiché «l’uso generalizzato e incontrollato di tale tipologia di dati può comportare […] il concreto rischio del verificarsi di un pregiudizio rilevante per l’interessato» (Provvedimento in materia di videosorveglianza, 8 aprile 2010, p. 6). Il GDPR li colloca tra le categorie particolari dell’art. 9 (Regolamento, art. 9), e il loro trattamento su larga scala impone la valutazione d’impatto (Regolamento, art. 35), par. 3, lett. b).</w:t>
      </w:r>
    </w:p>
    <w:p>
      <w:pPr/>
      <w:r>
        <w:rPr/>
        <w:t>L’intelligenza artificiale accentua il rischio di profilazione, definita come «forma di trattamento automatizzato di dati personali consistente nell’utilizzo di tali dati personali per valutare determinati aspetti personali» (Regolamento, art. 4), n. 4). L’evoluzione «software e tecnologica, insita negli strumenti di sorveglianza» è la ragione per cui l’art. 88, comma 2, GDPR «estende la contrattazione con le parti sociali con specifico riferimento al trattamento ulteriore dei dati personali» (Ghionzoli, 2025, p. 18).</w:t>
      </w:r>
    </w:p>
    <w:p>
      <w:pPr/>
      <w:r>
        <w:rPr/>
        <w:t>Un limite di trasferibilità va segnalato: le due pronunce riguardano geolocalizzazione veicolare e non affrontano direttamente i sistemi di IA, sicché il regime di sorveglianza umana per gli algoritmi resta ricostruito solo per rinvio all’art. 88, comma 2, GDPR e alla logica dell’attuazione per ciascuno strumento. Ciò che le decisioni settlano è che ogni dispositivo dotato di capacità di tracciamento della posizione è controllo a distanza soggetto all’art. 4, e che la condizione di utilizzabilità dei dati va verificata separatamente per ognuno.</w:t>
      </w:r>
    </w:p>
    <w:p>
      <w:pPr>
        <w:pStyle w:val="Heading2"/>
      </w:pPr>
      <w:r>
        <w:rPr/>
        <w:t>Il lavoro agile e il controllo da remoto</w:t>
      </w:r>
    </w:p>
    <w:p>
      <w:pPr/>
      <w:r>
        <w:rPr/>
        <w:t>Il lavoro agile presenta «profili innovativi della recente disciplina» quanto ai «margini dell’esercizio del potere di controllo del datore di lavoro» (Bellavista, 2018). La disciplina è costruita, cioè, attorno a un potere direttivo esercitato a distanza, fuori dai locali aziendali.</w:t>
      </w:r>
    </w:p>
    <w:p>
      <w:pPr/>
      <w:r>
        <w:rPr/>
        <w:t>L’assenza di un luogo fisico presidiato sposta il controllo sugli strumenti tecnologici assegnati al lavoratore. Il primo orientamento dottrinale riconduce alla nozione di strumenti di lavoro «i dispositivi assegnati al lavoratore per esigenze organizzative e direttamente utilizzati da quest’ultimo non solo per lo svolgimento della prestazione lavorativa, ma anche per efficientare la stessa» (Ghionzoli, 2025, p. 14). Il secondo esclude invece i software che «non risultano funzionali a tutto questo e hanno invece esclusive finalità di controllo» (Ghionzoli, 2025, p. 14).</w:t>
      </w:r>
    </w:p>
    <w:p>
      <w:pPr/>
      <w:r>
        <w:rPr/>
        <w:t>Questa distinzione è decisiva nel lavoro agile: quando lo strumento consente «la conservazione massiva dei dati» (Ghionzoli, 2025, p. 14), lo scivolamento verso il controllo vietato dal comma 1 dell’art. 4 diventa concreto. Il regime dell’informativa proprio degli strumenti di lavoro non copre, cioè, ogni funzionalità di monitoraggio del dispositivo remoto.</w:t>
      </w:r>
    </w:p>
    <w:p>
      <w:pPr/>
      <w:r>
        <w:rPr/>
        <w:t>L’esercizio indiscriminato del potere produce «risvolti critici» sui «diritti della persona del lavoratore», con «riferimento agli aspetti di violazione della disciplina dei dati personali» (Bellavista, 2018). Il rischio non è astratto: fuori dall’azienda, il perimetro del controllo tende a invadere «la sfera personale e la vita privata di lavoratori e di terzi» (Lavoro: le linee guida del Garante per posta elettronica e internet, p. 2), il cui confine «può essere tracciata a volte solo con difficoltà» (Lavoro: le linee guida del Garante per posta elettronica e internet, p. 2).</w:t>
      </w:r>
    </w:p>
    <w:p>
      <w:pPr/>
      <w:r>
        <w:rPr/>
        <w:t>Il lavoro agile s’inserisce, sul piano organizzativo, nella trasformazione tecnologica dei luoghi di lavoro, dove «technology» è il «most meaningful driver» del mutamento (Caruso &amp; Zappalà, 2022). In questo scenario si richiede una regolazione «made by differentiation, adaptations, extensions, dilutions», con «the reference to the individual, to her/his life project, and ultimately to her/his dignity» come «unifying value» (Caruso &amp; Zappalà, 2022).</w:t>
      </w:r>
    </w:p>
    <w:p>
      <w:pPr/>
      <w:r>
        <w:rPr/>
        <w:t>La condizione di vulnerabilità aggrava l’esigenza di garanzie proporzionate. Il Considerando 43 «esclude la validità del consenso in presenza di un evidente squilibrio (di potere) tra titolare e interessato» (Ghionzoli, 2025, p. 27). Tra i trattamenti su soggetti vulnerabili rientrano «i trattamenti effettuati nell’ambito del rapporto di lavoro, mediante sistemi tecnologici, dai quali derivi la possibilità di effettuare un controllo a distanza dell’attività dei dipendenti» (Ghionzoli, 2025, p. 28). Nei contesti di lavoro «il consenso è in nuce viziato e non «genuino»» (Ghionzoli, 2025, p. 28), perché «non libero» (Ghionzoli, 2025, p. 28).</w:t>
      </w:r>
    </w:p>
    <w:p>
      <w:pPr/>
      <w:r>
        <w:rPr/>
        <w:t>Ne discende la necessità di «una valutazione relativa all’eccedenza del trattamento, in grado di giustificare i limiti alle libertà del lavoratore e ai diritti fondamentali» (Ghionzoli, 2025, p. 28).</w:t>
      </w:r>
    </w:p>
    <w:p>
      <w:pPr/>
      <w:r>
        <w:rPr/>
        <w:t>Un limite di trasferibilità va segnalato: l’evidenza disponibile inquadra i profili del lavoro agile in termini generali, senza offrire l’articolato testuale della relativa disciplina, sicché i margini specifici del potere di controllo restano ricostruiti solo per rinvio agli orientamenti dottrinali e ai principi generali dell’art. 4. Ciò che l’evidenza settla è che il lavoro agile moltiplica le occasioni di controllo remoto tramite dispositivi che, se dotati di conservazione massiva o di finalità esclusivamente sorvegliative, ricadono nel divieto del comma 1, esigendo un bilanciamento rafforzato incentrato sull’eccedenza del trattamento e sulla dignità della persona.</w:t>
      </w:r>
    </w:p>
    <w:p>
      <w:pPr>
        <w:pStyle w:val="Heading2"/>
      </w:pPr>
      <w:r>
        <w:rPr/>
        <w:t>La giurisprudenza della Corte di Cassazione</w:t>
      </w:r>
    </w:p>
    <w:p>
      <w:pPr/>
      <w:r>
        <w:rPr/>
        <w:t>La distinzione tra controlli difensivi in senso lato e in senso stretto costituisce il baricentro dell’orientamento recente. La Cassazione ha ritenuto che «possa soccorrere in questo contesto la distinzione tra i «controlli difensivi» in senso lato e quelli in senso stretto» (Corte di Cassazione, sezione lavoro, sentenza 22 settembre 2021, n. 25732, p. 7), di fronte all’interrogativo se, «anche sotto l’impero della nuova versione dell’art. 4 St. lav. debba continuare a riconoscersi ai «controlli difensivi» diritto di cittadinanza» (Corte di Cassazione, sezione lavoro, sentenza 22 settembre 2021, n. 25732, p. 7).</w:t>
      </w:r>
    </w:p>
    <w:p>
      <w:pPr/>
      <w:r>
        <w:rPr/>
        <w:t>Il fondamento dogmatico della categoria era già stato posto sotto il testo previgente. La Corte aveva affermato che «l’effettività del divieto di controllo a distanza dell’attività dei lavoratori richiede che anche per i cosiddetti controlli difensivi trovino applicazione le garanzie dell’art. 4 secondo comma legge n. 300/1970» (Corte di Cassazione, sezione lavoro, sentenza 5 ottobre 2016, n. 19922, p. 2). La conseguenza è l’inutilizzabilità probatoria: i dati sull’attività lavorativa «non possono essere utilizzati per provare» l’inadempimento (Corte di Cassazione, sezione lavoro, sentenza 5 ottobre 2016, n. 19922, p. 2).</w:t>
      </w:r>
    </w:p>
    <w:p>
      <w:pPr/>
      <w:r>
        <w:rPr/>
        <w:t>Il perimetro dei controlli difensivi legittimi è tracciato in negativo. Non possono considerarsi ««difensivi» meccanismi di controllo generalizzati e controlli che sono stati predisposti prima ancora dell’emergere di qualsiasi sospetto» (Corte di Cassazione, sezione lavoro, sentenza 5 ottobre 2016, n. 19922, p. 3). Nel caso deciso, la prova era stata raggiunta «attraverso meccanismi illeciti di controllo a distanza sull’attività lavorativa e quindi in violazione dell’art. 4 l. n. 300» (Corte di Cassazione, sezione lavoro, sentenza 5 ottobre 2016, n. 19922, p. 3).</w:t>
      </w:r>
    </w:p>
    <w:p>
      <w:pPr/>
      <w:r>
        <w:rPr/>
        <w:t>La sentenza n. 25732 sistematizza la categoria dopo il Jobs Act. Il problema è la «compatibilità dei c.d. «controlli difensivi», concetto elaborato dalla giurisprudenza precedentemente alla modifica dell’art. 4» (Corte di Cassazione, sezione lavoro, sentenza 22 settembre 2021, n. 25732, p. 4), ora che il legislatore ha indicato tra le finalità legittime anche quelle di ««tutela del patrimonio aziendale»» (Corte di Cassazione, sezione lavoro, sentenza 22 settembre 2021, n. 25732, p. 7). La Corte riafferma il limite invalicabile: «in nessun caso può essere giustificato un sostanziale annullamento di ogni forma di garanzia della dignità e riservatezza del lavoratore» (Corte di Cassazione, sezione lavoro, sentenza 22 settembre 2021, n. 25732, p. 8), richiamando Cass. n. 15892.</w:t>
      </w:r>
    </w:p>
    <w:p>
      <w:pPr/>
      <w:r>
        <w:rPr/>
        <w:t>Il presupposto legittimante è il fondato sospetto. La Corte valorizza «l’esistenza di un ragionevole sospetto circa la commissione di illeciti connotati da gravità e la prefigurazione dell’entità dei danni economici» (Corte di Cassazione, sezione lavoro, sentenza 22 settembre 2021, n. 25732, p. 8). Ciò non attribuisce mano libera: in «presenza di un sospetto di attività illecita» il datore non «possa avere mano libera nel porre in essere controlli sul lavoratore interessato» (Corte di Cassazione, sezione lavoro, sentenza 22 settembre 2021, n. 25732, p. 8).</w:t>
      </w:r>
    </w:p>
    <w:p>
      <w:pPr/>
      <w:r>
        <w:rPr/>
        <w:t>Il vizio della decisione impugnata è procedimentale: la Corte territoriale «non ha poi verificato la compatibilità del comportamento datoriale, e quindi della utilizzabilità dei dati informatici raccolti a fini disciplinari» con l’art. 4 (Corte di Cassazione, sezione lavoro, sentenza 22 settembre 2021, n. 25732, p. 10). Il motivo è accolto perché evidenzia l’omessa verifica «se esso avesse ad oggetto esclusivamente dati» (Corte di Cassazione, sezione lavoro, sentenza 22 settembre 2021, n. 25732, p. 10).</w:t>
      </w:r>
    </w:p>
    <w:p>
      <w:pPr/>
      <w:r>
        <w:rPr/>
        <w:t>La sentenza n. 15391 consolida l’orientamento nel 2024. La nozione è ripresa testualmente: sono controlli difensivi quelli «non volti ad accertare l’inadempimento delle ordinarie obbligazioni contrattuali (cfr. Cass., sez. lav., 5.10.2016, n. 19922)» (Corte di Cassazione, sezione lavoro, ordinanza 3 giugno 2024, n. 15391, p. 4). La legittimità permane «anche dopo la modifica dell’art. 4 st. lav., ad opera dell’art. 23 del D.Lgs. n. 151 del 2015» (Corte di Cassazione, sezione lavoro, ordinanza 3 giugno 2024, n. 15391, p. 4).</w:t>
      </w:r>
    </w:p>
    <w:p>
      <w:pPr/>
      <w:r>
        <w:rPr/>
        <w:t>L’onere probatorio sul fondato sospetto è definito con precisione. Spetta al datore «l’onere di allegare, prima, e di provare, poi, le specifiche circostanze che l’hanno indotto ad attivare il controllo tecnologico ex post» (Corte di Cassazione, sezione lavoro, ordinanza 3 giugno 2024, n. 15391, p. 4), «sia perché solo il predetto sospetto consente l’azione datoriale fuori del perimetro di applicazione diretta dell’art. 4 st. lav.» (Corte di Cassazione, sezione lavoro, ordinanza 3 giugno 2024, n. 15391, p. 4), richiamando Cass. n. 18168/2023.</w:t>
      </w:r>
    </w:p>
    <w:p>
      <w:pPr/>
      <w:r>
        <w:rPr/>
        <w:t>Nel caso Telepass la difesa datoriale è respinta perché non era stato allegato «che l’installazione dell’apparecchio telepass sull’autovettura aziendale rientrasse tra i cd. controlli difensivi» (Corte di Cassazione, sezione lavoro, ordinanza 3 giugno 2024, n. 15391, p. 4). La conseguenza è l’inutilizzabilità dei dati, discendente dal «non aver assolto l’obbligo di adeguata informazione del lavoratore» ai sensi dell’art. 4, comma 3 (Corte di Cassazione, sezione lavoro, ordinanza 3 giugno 2024, n. 15391, p. 5).</w:t>
      </w:r>
    </w:p>
    <w:p>
      <w:pPr/>
      <w:r>
        <w:rPr/>
        <w:t>Un limite di trasferibilità va segnalato: la n. 15391 decide un dispositivo di tracciamento veicolare e non generalizza la disciplina ad ogni strumento tecnologico senza verifica caso per caso. Ciò che le tre decisioni settlano è che il controllo difensivo è ammesso solo con fondato sospetto anteriore, controllo ex post limitato a dati successivi, onere di allegazione e prova a carico del datore, e insuperabile bilanciamento con la dignità del lavoratore.</w:t>
      </w:r>
    </w:p>
    <w:p>
      <w:pPr>
        <w:pStyle w:val="Heading2"/>
      </w:pPr>
      <w:r>
        <w:rPr/>
        <w:t>La giurisprudenza della Corte EDU e della Corte di Giustizia UE</w:t>
      </w:r>
    </w:p>
    <w:p>
      <w:pPr/>
      <w:r>
        <w:rPr/>
        <w:t>&lt;h2&gt;La giurisprudenza della Corte EDU e della Corte di Giustizia UE&lt;/h2&gt;</w:t>
      </w:r>
    </w:p>
    <w:p>
      <w:pPr/>
      <w:r>
        <w:rPr/>
        <w:t>La questione è quali principi la Corte EDU e la CGUE abbiano affermato sul controllo dei lavoratori, con particolare riguardo alla tutela della vita privata sul luogo di lavoro.</w:t>
      </w:r>
    </w:p>
    <w:p>
      <w:pPr/>
      <w:r>
        <w:rPr/>
        <w:t xml:space="preserve">Nel caso </w:t>
      </w:r>
      <w:r>
        <w:rPr>
          <w:i/>
        </w:rPr>
        <w:t>Bărbulescu v. Romania</w:t>
      </w:r>
      <w:r>
        <w:rPr/>
        <w:t>, la Grande Camera ha deciso il 5 settembre 2017 su un’applicazione riguardante il licenziamento del ricorrente, fondato «on a breach of his right to respect for his private life and correspondence as enshrined in Article 8 of the Convention» (Bărbulescu v. Romania [GC], no. 61496/08, judgment of 5 September 2017, p. 27). Il datore contestava l’uso personale della messaggistica aziendale, dopo aver monitorato le comunicazioni del dipendente.</w:t>
      </w:r>
    </w:p>
    <w:p>
      <w:pPr/>
      <w:r>
        <w:rPr/>
        <w:t>La pronuncia fissa i requisiti che ogni monitoraggio deve soddisfare per non violare l’art. 8 CEDU: nel giudizio «the Court set out a certain number of requirements that must be met by any monitoring of the correspondence and communications of employees if it is not to breach Article 8 of the Convention» (López Ribalda and Others v. Spain [GC], nos. 1874/13 and 8567/13, judgment of 17 October 2019, p. 38). Tali criteri, enunciati al § 121, costituiscono lo standard di proporzionalità richiamato dalla giurisprudenza successiva.</w:t>
      </w:r>
    </w:p>
    <w:p>
      <w:pPr/>
      <w:r>
        <w:rPr/>
        <w:t>La Corte ha inoltre richiesto un rimedio giurisdizionale effettivo: «the employees concerned must have access to a remedy before an independent judicial body with jurisdiction to determine, at least in substance, whether the relevant conditions were satisfied» (López Ribalda and Others v. Spain [GC], nos. 1874/13 and 8567/13, judgment of 17 October 2019, p. 38).</w:t>
      </w:r>
    </w:p>
    <w:p>
      <w:pPr/>
      <w:r>
        <w:rPr/>
        <w:t>Il vincolo di sussidiarietà limita il sindacato di Strasburgo: la Corte «must be cautious in taking on the role of a first-instance tribunal of fact» e non sostituisce la propria valutazione dei fatti a quella dei giudici nazionali (Bărbulescu v. Romania [GC], no. 61496/08, judgment of 5 September 2017, p. 41). La tutela dell’art. 8 opera dunque come controllo sull’adeguatezza del bilanciamento nazionale, non come riesame di merito.</w:t>
      </w:r>
    </w:p>
    <w:p>
      <w:pPr/>
      <w:r>
        <w:rPr/>
        <w:t xml:space="preserve">Nel caso </w:t>
      </w:r>
      <w:r>
        <w:rPr>
          <w:i/>
        </w:rPr>
        <w:t>López Ribalda e altri v. Spagna</w:t>
      </w:r>
      <w:r>
        <w:rPr/>
        <w:t xml:space="preserve">, deciso con sentenza di Grande Camera del 17 ottobre 2019, la Corte ha affrontato la videosorveglianza occulta di cassieri sospettati di ammanchi. La difesa dei ricorrenti chiedeva di applicare i criteri di proporzionalità di </w:t>
      </w:r>
      <w:r>
        <w:rPr>
          <w:i/>
        </w:rPr>
        <w:t>Bărbulescu</w:t>
      </w:r>
      <w:r>
        <w:rPr/>
        <w:t>, «given the lack of prior information about the introduction of video-surveillance and the rights provided for in the data-protection legislation» (López Ribalda and Others v. Spain [GC], nos. 1874/13 and 8567/13, judgment of 17 October 2019, p. 34).</w:t>
      </w:r>
    </w:p>
    <w:p>
      <w:pPr/>
      <w:r>
        <w:rPr/>
        <w:t xml:space="preserve">Il datore distingueva il proprio caso da </w:t>
      </w:r>
      <w:r>
        <w:rPr>
          <w:i/>
        </w:rPr>
        <w:t>Bărbulescu</w:t>
      </w:r>
      <w:r>
        <w:rPr/>
        <w:t xml:space="preserve"> invocando la durata contenuta e l’ambito ristretto: il monitoraggio «had lasted for only ten days, from 15 to 25 June» ed era diretto non all’intero personale ma «only at those working in the checkout area» (López Ribalda and Others v. Spain [GC], nos. 1874/13 and 8567/13, judgment of 17 October 2019, p. 35). La finalità perseguita era «a legitimate aim, namely to shed light on an offence of which the company had been the victim» (López Ribalda and Others v. Spain [GC], nos. 1874/13 and 8567/13, judgment of 17 October 2019, p. 35).</w:t>
      </w:r>
    </w:p>
    <w:p>
      <w:pPr/>
      <w:r>
        <w:rPr/>
        <w:t xml:space="preserve">La Corte ha ritenuto i principi di </w:t>
      </w:r>
      <w:r>
        <w:rPr>
          <w:i/>
        </w:rPr>
        <w:t>Bărbulescu</w:t>
      </w:r>
      <w:r>
        <w:rPr/>
        <w:t xml:space="preserve"> applicabili anche alla videosorveglianza occulta, richiedendo garanzie contro gli abusi «by adequate and sufficient safeguards against abuse» (López Ribalda and Others v. Spain [GC], nos. 1874/13 and 8567/13, judgment of 17 October 2019, p. 38). Un profilo critico di proporzionalità emerge quando la sorveglianza «had continued throughout the working day and had involved filming not only the employees under suspicion but the whole staff» (López Ribalda and Others v. Spain [GC], nos. 1874/13 and 8567/13, judgment of 17 October 2019, p. 34).</w:t>
      </w:r>
    </w:p>
    <w:p>
      <w:pPr/>
      <w:r>
        <w:rPr/>
        <w:t xml:space="preserve">Sul bilanciamento, la giurisprudenza spagnola richiamata rinviava alla stessa </w:t>
      </w:r>
      <w:r>
        <w:rPr>
          <w:i/>
        </w:rPr>
        <w:t>Bărbulescu</w:t>
      </w:r>
      <w:r>
        <w:rPr/>
        <w:t>, riconoscendo che il potere generale di monitoraggio legittima la vigilanza «without prejudging the particular circumstances of each case» (López Ribalda and Others v. Spain [GC], nos. 1874/13 and 8567/13, judgment of 17 October 2019, p. 19). La proporzionalità va dunque verificata in concreto, tenendo conto dell’insufficienza dell’informazione preventiva.</w:t>
      </w:r>
    </w:p>
    <w:p>
      <w:pPr/>
      <w:r>
        <w:rPr/>
        <w:t>Il diritto UE aggiunge un secondo asse di tutela. La CGUE ha interpretato la Direttiva 95/46/CE «in the light of the right to respect for private life, as guaranteed by Article 8 of the Convention» (Bărbulescu v. Romania [GC], no. 61496/08, judgment of 5 September 2017, p. 21), saldando la disciplina di protezione dei dati alla garanzia convenzionale. La dottrina rileva che dalla giurisprudenza più recente, «Google Spain, Digital Rights Ireland», la protezione dei dati personali può prevalere su altri diritti e interessi, e che ogni eccezione «has to be duly justified and subject to a number of clear and specific safeguards» (Crespi, 2015).</w:t>
      </w:r>
    </w:p>
    <w:p>
      <w:pPr/>
      <w:r>
        <w:rPr/>
        <w:t xml:space="preserve">Le ricadute sul diritto interno sono documentate: la Cassazione ha trovato conforto nella giurisprudenza di Strasburgo «in particolare nella sentenza di Grande Camera del 17 ottobre 2019, nel caso Lòpez Ribalda» (Corte di Cassazione, sezione lavoro, sentenza 22 settembre 2021, n. 25732, p. 8), richiedendo «un corretto bilanciamento» tra interessi aziendali e «imprescindibili tutele della dignità e della riservatezza del lavoratore» ex art. 8 CEDU (Corte di Cassazione, sezione lavoro, sentenza 22 settembre 2021, n. 25732, p. 8). La stessa Corte ha censurato, sulla scorta di </w:t>
      </w:r>
      <w:r>
        <w:rPr>
          <w:i/>
        </w:rPr>
        <w:t>Bărbulescu</w:t>
      </w:r>
      <w:r>
        <w:rPr/>
        <w:t>, il difetto di accertamento «se il datore di lavoro avrebbe potuto utilizzare misure meno intrusive» (Corte di Cassazione, sezione lavoro, sentenza 22 settembre 2021, n. 25732, p. 9).</w:t>
      </w:r>
    </w:p>
    <w:p>
      <w:pPr/>
      <w:r>
        <w:rPr/>
        <w:t xml:space="preserve">Un limite di trasferibilità va segnalato: </w:t>
      </w:r>
      <w:r>
        <w:rPr>
          <w:i/>
        </w:rPr>
        <w:t>López Ribalda</w:t>
      </w:r>
      <w:r>
        <w:rPr/>
        <w:t xml:space="preserve"> riguarda datori di lavoro privati, sicché il collegio ha ritenuto di dover «confirm, extend, and transpose the Bărbulescu principles» alla videosorveglianza occulta (López Ribalda and Others v. Spain [GC], nos. 1874/13 and 8567/13, judgment of 17 October 2019, p. 56), senza estenderli automaticamente ad altre categorie di controllo. Ciò che le due decisioni settlano è che il controllo dei lavoratori è legittimo solo se prevedibile, informato, proporzionato alla finalità e assistito da garanzie effettive contro gli abusi.</w:t>
      </w:r>
    </w:p>
    <w:p>
      <w:pPr>
        <w:pStyle w:val="Heading2"/>
      </w:pPr>
      <w:r>
        <w:rPr/>
        <w:t>I provvedimenti e le Linee guida del Garante</w:t>
      </w:r>
    </w:p>
    <w:p>
      <w:pPr/>
      <w:r>
        <w:rPr/>
        <w:t>Con la deliberazione n. 13 del 1° marzo 2007, il Garante ha adottato le linee guida «per posta elettronica e internet» (Lavoro: le linee guida del Garante per posta elettronica e internet, p. 1), muovendo «dall´esame di diversi reclami, segnalazioni e quesiti» sull´uso da parte dei lavoratori «di strumenti informatici e telematici» (Lavoro: le linee guida del Garante per posta elettronica e internet, p. 1). La deliberazione poggia sugli «artt. 24 e 154, comma 1, lett. b) e c) del Codice» (Lavoro: le linee guida del Garante per posta elettronica e internet, p. 1), radicando l´intervento nei poteri prescrittivi dell´Autorità.</w:t>
      </w:r>
    </w:p>
    <w:p>
      <w:pPr/>
      <w:r>
        <w:rPr/>
        <w:t>La struttura dispositiva dell´atto combina prescrizioni, divieti e individuazione di casi di bilanciamento. Il Garante «prescrive ai datori di lavoro privati e pubblici, ai sensi dell´art. 154, comma 1, lett. c), del Codice» l´onere «di specificare le modalità di utilizzo della posta elettronica e della rete Internet» (Lavoro: le linee guida del Garante per posta elettronica e internet, p. 9). Al contempo «vieta ai datori di lavoro privati e pubblici, ai sensi dell´art. 154, comma 1, lett. d), del Codice, di effettuare trattamenti» mediante sistemi che mirano «al controllo a distanza di lavoratori» (Lavoro: le linee guida del Garante per posta elettronica e internet, p. 11).</w:t>
      </w:r>
    </w:p>
    <w:p>
      <w:pPr/>
      <w:r>
        <w:rPr/>
        <w:t>L´elencazione delle condotte vietate è puntuale. Vi rientrano «la lettura e la registrazione sistematica dei messaggi di posta elettronica ovvero dei relativi dati esteriori» (Lavoro: le linee guida del Garante per posta elettronica e internet, p. 11), «la riproduzione e l´eventuale memorizzazione sistematica delle pagine web visualizzate dal lavoratore» (Lavoro: le linee guida del Garante per posta elettronica e internet, p. 11), «la lettura e la registrazione dei caratteri inseriti tramite la tastiera» e «l´analisi occulta di computer portatili affidati in uso» (Lavoro: le linee guida del Garante per posta elettronica e internet, p. 11).</w:t>
      </w:r>
    </w:p>
    <w:p>
      <w:pPr/>
      <w:r>
        <w:rPr/>
        <w:t>Sul versante della videosorveglianza, il provvedimento dell´8 aprile 2010 «sostituisce quello del 29 aprile 2004» (Provvedimento in materia di videosorveglianza, 8 aprile 2010, p. 2), muovendo dal rilievo che il trattamento mediante tali sistemi «non forma oggetto di legislazione specifica» e resta soggetto alle «disposizioni generali in tema di protezione dei dati personali» (Provvedimento in materia di videosorveglianza, 8 aprile 2010, p. 2). L´atto è adottato «Visto il Codice in materia di protezione dei dati personali (d.lg. 30 giugno 2003, n. 196)» (Provvedimento in materia di videosorveglianza, 8 aprile 2010, p. 2), previa acquisizione delle osservazioni di ANCI e del Ministero dell´Interno (Provvedimento in materia di videosorveglianza, 8 aprile 2010, p. 2).</w:t>
      </w:r>
    </w:p>
    <w:p>
      <w:pPr/>
      <w:r>
        <w:rPr/>
        <w:t>Il coordinamento con l´art. 4 dello Statuto emerge dalla stessa prassi applicativa. Il Codice richiama la disciplina statutaria mediante gli artt. 113 e 114, che subordinano l´uso della videosorveglianza al «rispetto di quanto previsto dall´art. 4 della Legge n. 300 del 1970» (Ghionzoli, 2025, p. 17). L´installazione «deve avvenire previo accordo collettivo» o «con l´autorizzazione dell´ispettorato del lavoro», costituendo «una condizione senza l´osservanza della quale non è possibile l´installazione» (Ghionzoli, 2025, p. 17).</w:t>
      </w:r>
    </w:p>
    <w:p>
      <w:pPr/>
      <w:r>
        <w:rPr/>
        <w:t>L´apparato sanzionatorio conferma la funzione di presidio della conformità. Il Garante prescrive «ai sensi dell´art. 154, comma 1, lett. c), del Codice» l´adozione di misure entro termini determinati (Provvedimento in materia di videosorveglianza, 8 aprile 2010, p. 19). In difetto, il trattamento è «illecito oppure non corretto» ed espone «all´inutilizzabilità dei dati personali» ex «art. 11, comma 2, del Codice», a «provvedimenti di blocco o di divieto» ex «art. 143, comma 1, lett. c)», e «all´applicazione delle pertinenti sanzioni amministrative o penali (artt. 161 e ss. del Codice)» (Provvedimento in materia di videosorveglianza, 8 aprile 2010, p. 19).</w:t>
      </w:r>
    </w:p>
    <w:p>
      <w:pPr/>
      <w:r>
        <w:rPr/>
        <w:t>L´evidenza disponibile qualifica il ruolo dell´autorità di controllo in termini generali: essa è tra «the public bodies entrusted with regulating, monitoring and enforcing data protection», con «the sanctioning and non-sanctioning measures that can be taken by the supervisory authority» (Cremona, 2025). Un limite va segnalato: quest´ultima fonte non specifica l´entità delle sanzioni applicabili nel rapporto di lavoro, sicché la misura concreta resta ancorata solo agli artt. 161 e ss. del Codice richiamati dal provvedimento del 2010. La prassi del Garante, così, non si limita a interpretare le norme legali, ma le integra con prescrizioni operative la cui inosservanza attiva blocco, inutilizzabilità e sanzioni.</w:t>
      </w:r>
    </w:p>
    <w:p>
      <w:pPr>
        <w:pStyle w:val="Heading1"/>
      </w:pPr>
      <w:r>
        <w:rPr/>
        <w:t>Conclusioni</w:t>
      </w:r>
    </w:p>
    <w:p>
      <w:pPr/>
      <w:r>
        <w:rPr/>
        <w:t>Il bilanciamento tra potere di controllo del datore e tutela del lavoratore non emerge da un solo corpo normativo, ma dall’integrazione tra lo Statuto dei lavoratori e il GDPR. L’art. 88 del GDPR fa salve le norme nazionali di maggior tutela, «come l’art. 23 del D.lgs. n. 151/2015 (già art. 4 del la legge n. 300 del 1970)» (Ghionzoli, 2025, p. 17). Non vi è dunque sostituzione, ma coordinamento: esistono «diversi e autonomi livelli di garanzia, costituiti in primis dal Codice della Privacy nonché dall’art. 4 della L. 300/1970 a cui l’art. 88 rinvia, in combinato disposto con gli artt. 5 e 6 GDPR» (Ghionzoli, 2025, p. 18).</w:t>
      </w:r>
    </w:p>
    <w:p>
      <w:pPr/>
      <w:r>
        <w:rPr/>
        <w:t>Questa complementarità risponde alla domanda posta nell’introduzione. Lo Statuto fissa i presupposti sostanziali e procedurali del controllo; il GDPR li innerva con i principi di liceità, minimizzazione e trasparenza dell’art. 5. La giurisprudenza conferma l’aggancio: l’utilizzabilità delle informazioni resta subordinata «al rispetto di quanto disposto dal decreto legislativo 30 giugno 2003, n. 196» (Legge 20 maggio 1970, n. 300, art. 4, comma 3).</w:t>
      </w:r>
    </w:p>
    <w:p>
      <w:pPr/>
      <w:r>
        <w:rPr/>
        <w:t>Il perno del bilanciamento è la contrattazione collettiva. Già il Garante, per il legittimo interesse ex art. 24, comma 1, lett. g), del Codice, aveva tenuto conto delle garanzie statutarie presupponendo «non il consenso degli interessati, ma un accordo con le rappresentanze sindacali» (Lavoro: le linee guida del Garante per posta elettronica e internet, p. 9). Il GDPR amplia questo spazio: l’art. 88, secondo comma, «estende la contrattazione con le parti sociali con specifico riferimento al trattamento ulteriore dei dati personali» (Ghionzoli, 2025, p. 18). La stessa dottrina qualifica tale disposizione come «norma garantista, che rafforza l’art. 23, 3° co), del D.lgs 151/2015 (già art. 4 dello Statuto), basato sul mero diritto all’informazione dei lavoratori» (Ghionzoli, 2025, p. 18).</w:t>
      </w:r>
    </w:p>
    <w:p>
      <w:pPr/>
      <w:r>
        <w:rPr/>
        <w:t>La prospettiva evolutiva è duplice. Da un lato, la negoziazione collettiva si conferma sede privilegiata di sperimentazione: gli accordi ex art. 4 St. lav. rappresentano «a key venue for experimenting with shared governance models» (Peruzzi, 2025, p. 1), con un livello di dettaglio che «aumenta sensibilmente» negli accordi sul controllo a distanza sottoscritti a norma dell’art. 4, primo comma, St. lav. (Peruzzi, 2025, p. 15). Dall’altro, si prospetta un rafforzamento strutturale della tutela: la costituzione, «through collective bargaining and/or legislation», di un rappresentante sindacale per la protezione dei dati (Ingrao, 2024).</w:t>
      </w:r>
    </w:p>
    <w:p>
      <w:pPr/>
      <w:r>
        <w:rPr/>
        <w:t>Le sfide tecnologiche impongono di estendere questa integrazione. Strumenti come i droni sono «only partially» toccati dal Regolamento (UE) 2024/1689 sull’intelligenza artificiale (Ghionzoli, 2025, p. 2), e l’art. 88 GDPR mira, «con approccio lungimirante e rivolto al futuro», a coordinare le garanzie interne con l’innovazione (Ghionzoli, 2025, p. 38). I codici di condotta ex art. 88 GDPR possono divenire «complementari alla contrattazione» quando recepiscono il parere delle parti sociali (Ghionzoli, 2025, p. 25).</w:t>
      </w:r>
    </w:p>
    <w:p>
      <w:pPr/>
      <w:r>
        <w:rPr/>
        <w:t>Restano tuttavia due limiti che condizionano la conclusione. Il primo è di effettività della risposta negoziale: l’analisi degli accordi rileva «an overly generic articulation of information duties, limited formalisation of impact assessments, inadequate regulation of human oversight» (Peruzzi, 2025, p. 1), con un divario rispetto a modelli partecipativi più sviluppati. Il secondo è di copertura normativa delle nuove tecnologie: l’evidenza disponibile documenta l’applicazione solo parziale dell’AI Act ai dispositivi di sorveglianza (Ghionzoli, 2025, p. 2), senza offrire dati sull’efficacia concreta delle garanzie procedurali una volta introdotti sistemi algoritmici di monitoraggio.</w:t>
      </w:r>
    </w:p>
    <w:p>
      <w:pPr>
        <w:pStyle w:val="Heading1"/>
      </w:pPr>
      <w:r>
        <w:rPr/>
        <w:t>Bibliografia</w:t>
      </w:r>
    </w:p>
    <w:p>
      <w:pPr/>
      <w:r>
        <w:rPr/>
        <w:t>Bellavista, A. (2018).  Il potere di controllo sul lavoratore e la tutela della riservatezza. Nova Science Publishers (Nova Science Publishers, Inc.)</w:t>
      </w:r>
    </w:p>
    <w:p>
      <w:pPr/>
      <w:r>
        <w:rPr/>
        <w:t>Caruso, B., &amp; Zappalà, L. (2022).  Un diritto del lavoro ‘tridimensionale’: valori e tecniche di fronte ai mutamenti dei luoghi di lavoro. Studi e saggi. https://doi.org/10.36253/978-88-5518-484-7.06</w:t>
      </w:r>
    </w:p>
    <w:p>
      <w:pPr/>
      <w:r>
        <w:rPr/>
        <w:t>Cremona, E. (2025).  La regolamentazione e la tutela amministrativa. Strumenti del Dipartimento di Giurisprudenza di Siena. https://doi.org/10.36253/979-12-215-0796-6.10</w:t>
      </w:r>
    </w:p>
    <w:p>
      <w:pPr/>
      <w:r>
        <w:rPr/>
        <w:t>Crespi, S. (2015).  Diritti fondamentali, corte di giustizia e riforma del sistema ue di protezione dei dati. BOA (University of Milano-Bicocca)</w:t>
      </w:r>
    </w:p>
    <w:p>
      <w:pPr/>
      <w:r>
        <w:rPr/>
        <w:t>D'Alfonso, G. (2022).  Danni algoritmici e sviluppi normativi europei tra “liability” e “permittance” rules.. European Journal of Privacy Law &amp; Technologies. https://doi.org/10.57230/ejplt222gda</w:t>
      </w:r>
    </w:p>
    <w:p>
      <w:pPr/>
      <w:r>
        <w:rPr/>
        <w:t>Ghionzoli, S. (2025).  Sistemi di IA in ambiente di lavoro: traiettorie giuridiche tra privacy e strategia dei droni 2.0.</w:t>
      </w:r>
    </w:p>
    <w:p>
      <w:pPr/>
      <w:r>
        <w:rPr/>
        <w:t>Hoofnagle, C. J., Sloot, B. V. D., &amp; Borgesius, F. Z. (2019).  The European Union general data protection regulation: what it is and what it means. Information &amp; Communications Technology Law. https://doi.org/10.1080/13600834.2019.1573501</w:t>
      </w:r>
    </w:p>
    <w:p>
      <w:pPr/>
      <w:r>
        <w:rPr/>
        <w:t>Ingrao, A. (2024).  Controllo a distanza e diritto alla protezione dei dati. Sulla complementarità dei due sistemi normativi. Studi e saggi. https://doi.org/10.36253/979-12-215-0507-8.38</w:t>
      </w:r>
    </w:p>
    <w:p>
      <w:pPr/>
      <w:r>
        <w:rPr/>
        <w:t>Peruzzi, M. (2025).  Governare l’IA nei luoghi di lavoro: traiettorie della contrattazione collettiva aziendale e territoriale. Labour &amp; Law Issues. https://doi.org/10.60923/issn.2421-2695/23634</w:t>
      </w:r>
    </w:p>
    <w:p>
      <w:pPr/>
      <w:r>
        <w:rPr/>
        <w:t>Smuraglia, C. (1967).  La persona del prestatore nel rapporto di lavoro. Directory of Open access Books (OAPEN Foundation)</w:t>
      </w:r>
    </w:p>
    <w:p>
      <w:pPr>
        <w:pStyle w:val="Heading1"/>
      </w:pPr>
      <w:r>
        <w:rPr/>
        <w:t>Normativa e giurisprudenza</w:t>
      </w:r>
    </w:p>
    <w:p>
      <w:pPr/>
      <w:r>
        <w:rPr/>
        <w:t>Bărbulescu v. Romania [GC], no. 61496/08, judgment of 5 September 2017.</w:t>
      </w:r>
    </w:p>
    <w:p>
      <w:pPr/>
      <w:r>
        <w:rPr/>
        <w:t>Corte di Cassazione, sezione III penale, sentenza 30 gennaio 2014, n. 4331.</w:t>
      </w:r>
    </w:p>
    <w:p>
      <w:pPr/>
      <w:r>
        <w:rPr/>
        <w:t>Corte di Cassazione, sezione lavoro, ordinanza 3 giugno 2024, n. 15391.</w:t>
      </w:r>
    </w:p>
    <w:p>
      <w:pPr/>
      <w:r>
        <w:rPr/>
        <w:t>Corte di Cassazione, sezione lavoro, sentenza 22 settembre 2021, n. 25732.</w:t>
      </w:r>
    </w:p>
    <w:p>
      <w:pPr/>
      <w:r>
        <w:rPr/>
        <w:t>Corte di Cassazione, sezione lavoro, sentenza 5 ottobre 2016, n. 19922.</w:t>
      </w:r>
    </w:p>
    <w:p>
      <w:pPr/>
      <w:r>
        <w:rPr/>
        <w:t>Decreto legislativo 14 settembre 2015, n. 151, art. 23 (Modifiche all'articolo 4 della legge 20 maggio 1970, n. 300).</w:t>
      </w:r>
    </w:p>
    <w:p>
      <w:pPr/>
      <w:r>
        <w:rPr/>
        <w:t>Decreto legislativo 30 giugno 2003, n. 196 (Codice privacy), art. 114 (Garanzie in materia di controllo a distanza), testo vigente.</w:t>
      </w:r>
    </w:p>
    <w:p>
      <w:pPr/>
      <w:r>
        <w:rPr/>
        <w:t>Lavoro: le linee guida del Garante per posta elettronica e internet (deliberazione n. 13 del 1° marzo 2007, doc. web n. 1387522).</w:t>
      </w:r>
    </w:p>
    <w:p>
      <w:pPr/>
      <w:r>
        <w:rPr/>
        <w:t>Legge 20 maggio 1970, n. 300 (Statuto dei lavoratori), art. 4 (Impianti audiovisivi e altri strumenti di controllo), testo vigente.</w:t>
      </w:r>
    </w:p>
    <w:p>
      <w:pPr/>
      <w:r>
        <w:rPr/>
        <w:t>Legge 20 maggio 1970, n. 300 (Statuto dei lavoratori), art. 8 (Divieto di indagini sulle opinioni).</w:t>
      </w:r>
    </w:p>
    <w:p>
      <w:pPr/>
      <w:r>
        <w:rPr/>
        <w:t>López Ribalda and Others v. Spain [GC], nos. 1874/13 and 8567/13, judgment of 17 October 2019.</w:t>
      </w:r>
    </w:p>
    <w:p>
      <w:pPr/>
      <w:r>
        <w:rPr/>
        <w:t>Provvedimento in materia di videosorveglianza, 8 aprile 2010 (doc. web n. 1712680).</w:t>
      </w:r>
    </w:p>
    <w:p>
      <w:pPr/>
      <w:r>
        <w:rPr/>
        <w:t>Regolamento (UE) 2016/679 del Parlamento europeo e del Consiglio (GDPR), articoli 4, 5, 6, 9, 13, 22, 25, 35 e 88.</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tutela dei dati personali nel rapporto di lavoro: il controllo a distanza dei lavoratori tra Statuto dei lavoratori e GDPR</dc:title>
  <dc:subject/>
  <dc:creator/>
  <cp:keywords/>
  <dc:description/>
  <cp:lastModifiedBy/>
  <cp:revision>1</cp:revision>
  <dcterms:created xsi:type="dcterms:W3CDTF">2026-09-13T07:55:57Z</dcterms:created>
  <dcterms:modified xsi:type="dcterms:W3CDTF">2026-09-13T07:55:57Z</dcterms:modified>
  <cp:category/>
</cp:coreProperties>
</file>