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L'accesso al credito delle piccole e medie imprese italiane nell'era del fintech: lending alternativo, crowdfunding e ruolo delle banche tradizionali</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 domanda di ricerca, obiettivi e metodologia</w:t>
      </w:r>
    </w:p>
    <w:p>
      <w:pPr/>
      <w:r>
        <w:rPr/>
        <w:t>Le piccole e medie imprese rappresentano un motore capace di guidare l’economia fuori dalla recessione, un ruolo che gli studi sulla creazione di posti di lavoro confermano in termini generali (Udell, 2010). Tale funzione, però, diventa difficile da esercitare quando le PMI non riescono ad accedere ai finanziamenti esterni (Udell, 2010). La dipendenza dal canale creditizio esterno costituisce quindi il nodo economico da cui muove questo lavoro.</w:t>
      </w:r>
    </w:p>
    <w:p>
      <w:pPr/>
      <w:r>
        <w:rPr/>
        <w:t>La rilevanza del problema è amplificata dalla struttura produttiva italiana, dove le piccole imprese rappresentano due terzi di tutte le aziende (Majo &amp; Triberti, 2005). Questa concentrazione rende l’accesso al credito una variabile sistemica per l’intera economia nazionale, non un tema circoscritto a un segmento marginale del tessuto imprenditoriale.</w:t>
      </w:r>
    </w:p>
    <w:p>
      <w:pPr/>
      <w:r>
        <w:rPr/>
        <w:t>La domanda di ricerca che orienta la tesi è la seguente: se e in che misura il lending alternativo, il crowdfunding e i minibond attenuino i vincoli tradizionalmente associati al credito bancario per le PMI italiane. La questione è motivata dall’osservazione che le modalità di accesso al credito – in termini di garanzie richieste e altre condizioni – possono modificarsi nel corso di una crisi finanziaria (Udell, 2010). Comprendere se i canali fintech rappresentino una risposta a queste rigidità è l’obiettivo conoscitivo centrale del lavoro.</w:t>
      </w:r>
    </w:p>
    <w:p>
      <w:pPr/>
      <w:r>
        <w:rPr/>
        <w:t>Il primo obiettivo è ricostruire i vincoli di accesso al credito bancario e le caratteristiche del finanziamento delle PMI italiane. Il secondo è analizzare il fintech e le piattaforme di lending alternativo come modelli fondati sulla disintermediazione del rapporto finanziario e sull’impiego di algoritmi di valutazione automatizzata del merito creditizio (TOMASI, 2026, p. 54). Il terzo obiettivo esamina crowdfunding e minibond quali strumenti complementari, considerati una possibile soluzione ai problemi economico-finanziari delle piccole e medie imprese grazie ai minori costi legati all’uso di internet e all’eliminazione degli intermediari tradizionali (TOMASI, 2026, p. 52). Il quarto obiettivo confronta le evidenze empiriche disponibili con il credito bancario tradizionale.</w:t>
      </w:r>
    </w:p>
    <w:p>
      <w:pPr/>
      <w:r>
        <w:rPr/>
        <w:t>La struttura riflette questi obiettivi in quattro capitoli: il finanziamento delle PMI e i vincoli di accesso al credito bancario; il fintech e il lending alternativo; crowdfunding e minibond; evidenze empiriche e confronto con il credito tradizionale. Seguono discussione, conclusioni, bibliografia e sitografia.</w:t>
      </w:r>
    </w:p>
    <w:p>
      <w:pPr/>
      <w:r>
        <w:rPr/>
        <w:t>La metodologia è una rassegna di studi empirici, working paper e rapporti istituzionali, con citazioni in stile APA. La scelta di combinare più fonti dati non è arbitraria ma imposta dalla natura del fenomeno: i dati sulle piccole imprese italiane non sono facilmente disponibili, soprattutto a causa dell’opacità informativa che le caratterizza (Majo &amp; Triberti, 2005). Per superare questa carenza, la letteratura di riferimento ha dovuto integrare fonti eterogenee – da Eurostat e Anagrafe Tributaria alla Centrale dei Bilanci e all’Istat, fino a indagini campionarie ad hoc su 4000 imprese (Majo &amp; Triberti, 2005). Il presente lavoro adotta la medesima logica di sintesi documentale: privilegia articoli peer-reviewed, working paper e rapporti di Banca d’Italia, BCE, Commissione europea e OCSE, integrandoli per compensare i limiti informativi propri del settore.</w:t>
      </w:r>
    </w:p>
    <w:p>
      <w:pPr/>
      <w:r>
        <w:rPr/>
        <w:t>Un limite metodologico deriva direttamente da questa opacità: laddove le fonti non consentono di ricostruire il rapporto banca-impresa dai soli bilanci (Majo &amp; Triberti, 2005), le conclusioni sull’efficacia comparata dei canali alternativi restano condizionate dalla qualità e dalla granularità dei dati raccolti dagli studi esaminati. Questo vincolo va tenuto presente nella valutazione dell’evidenza sviluppata nei capitoli successivi, poiché incide sulla trasferibilità dei risultati al complesso delle PMI italiane, il cui carattere strutturalmente poco trasparente è documentato come ostacolo all’indagine sistematica del nesso tra credito e imprese di piccola dimensione (Majo &amp; Triberti, 2005).</w:t>
      </w:r>
    </w:p>
    <w:p>
      <w:pPr>
        <w:pStyle w:val="Heading1"/>
      </w:pPr>
      <w:r>
        <w:rPr/>
        <w:t>1. Il finanziamento delle PMI italiane e i vincoli di accesso al credito bancario</w:t>
      </w:r>
    </w:p>
    <w:p>
      <w:pPr>
        <w:pStyle w:val="Heading2"/>
      </w:pPr>
      <w:r>
        <w:rPr/>
        <w:t>1.1 Il ruolo delle PMI e la struttura finanziaria del sistema italiano</w:t>
      </w:r>
    </w:p>
    <w:p>
      <w:pPr/>
      <w:r>
        <w:rPr/>
        <w:t>Le piccole e medie imprese rappresentano i due terzi delle imprese italiane (Majo &amp; Triberti, 2005). Questa preponderanza numerica colloca il comparto al centro del tessuto produttivo nazionale.</w:t>
      </w:r>
    </w:p>
    <w:p>
      <w:pPr/>
      <w:r>
        <w:rPr/>
        <w:t>La rilevanza del settore trova conferma anche a livello regionale. Nella rassegna OCSE dedicata alla Lombardia, la regione economicamente più forte d’Italia, le PMI e i loro cluster costituiscono l’ossatura della struttura economica lombarda (Proto et al., 2012). La stessa rassegna inquadra l’imprenditorialità e lo sviluppo delle PMI come motori della crescita economica e della creazione di occupazione, valutati rispetto allo Small Business Act dell’Unione europea (Proto et al., 2012).</w:t>
      </w:r>
    </w:p>
    <w:p>
      <w:pPr/>
      <w:r>
        <w:rPr/>
        <w:t>Alla centralità quantitativa si accompagna una marcata difficoltà di conoscenza del comparto. I dati sulle piccole imprese italiane non sono facilmente disponibili, principalmente a causa dell’opacità informativa che le caratterizza (Majo &amp; Triberti, 2005). Questa opacità non è un dettaglio accessorio: incide sulla possibilità stessa di analizzare in modo rigoroso il rapporto banca-impresa.</w:t>
      </w:r>
    </w:p>
    <w:p>
      <w:pPr/>
      <w:r>
        <w:rPr/>
        <w:t>Per aggirare il vincolo informativo, gli studi hanno dovuto combinare fonti eterogenee. Da Eurostat e dall’Anagrafe Tributaria si ricavano informazioni sulla rilevanza del piccolo comparto e sulla carenza di disclosure affidabile (Majo &amp; Triberti, 2005). Dalla Centrale dei Bilanci si è potuta analizzare l’evoluzione della struttura del capitale nel piccolo settore «corporate», utilizzando i bilanci di un campione di imprese dal 1982 al 2000 (Majo &amp; Triberti, 2005). Per le imprese non costituite in forma societaria i dati provengono dall’Istat (Majo &amp; Triberti, 2005).</w:t>
      </w:r>
    </w:p>
    <w:p>
      <w:pPr/>
      <w:r>
        <w:rPr/>
        <w:t>La struttura finanziaria delle imprese minori riflette le stesse fragilità informative. Le teorie standard sulla struttura finanziaria e sulla dimensione d’impresa offrono solo un quadro generale per comprendere il funzionamento delle piccole imprese, sicché i modelli teorici devono incorporare le evidenze empiriche relative ai diversi contesti istituzionali (Majo &amp; Triberti, 2005). La scelta finanziaria della piccola impresa non è quindi leggibile con i soli strumenti concettuali generali.</w:t>
      </w:r>
    </w:p>
    <w:p>
      <w:pPr/>
      <w:r>
        <w:rPr/>
        <w:t>Un tratto distintivo emerge dalla qualità dell’informativa contabile. Nella piccola impresa l’informativa di bilancio è di norma meno articolata, approfondita e affidabile rispetto a quella delle imprese di maggiori dimensioni (CIAMPI &amp; GORDINI, 2018, p. 2). A ciò si aggiunge la frequente coincidenza tra proprietario e manager, con un vertice imprenditoriale che decide in modo fortemente accentrato e una struttura organizzativa elementare (CIAMPI &amp; GORDINI, 2018, p. 2).</w:t>
      </w:r>
    </w:p>
    <w:p>
      <w:pPr/>
      <w:r>
        <w:rPr/>
        <w:t>Questa configurazione rende i mutamenti di struttura e strategia rapidi e poco prevedibili sulla base della semplice estrapolazione degli andamenti economico-finanziari passati (CIAMPI &amp; GORDINI, 2018, p. 2). La piccola impresa subisce inoltre condizionamenti esterni più intensi, variabili e differenziati rispetto all’impresa media o grande (CIAMPI &amp; GORDINI, 2018, p. 2).</w:t>
      </w:r>
    </w:p>
    <w:p>
      <w:pPr/>
      <w:r>
        <w:rPr/>
        <w:t>Il nesso tra opacità e credito è documentato in modo esplicito. Non è stato possibile ottenere informazioni sul rapporto banca-impresa e sul razionamento del credito dai soli dati di bilancio, tanto che è stata necessaria un’indagine ad hoc condotta da Isae-ANBP su un campione di 4000 imprese (Majo &amp; Triberti, 2005). La limitatezza qualitativa dei dati raccolti, affetti da giudizi soggettivi dei manager, circoscrive la portata delle inferenze possibili sul comparto (CIAMPI &amp; GORDINI, 2018, p. 2).</w:t>
      </w:r>
    </w:p>
    <w:p>
      <w:pPr/>
      <w:r>
        <w:rPr/>
        <w:t>Un limite di trasferibilità va segnalato: l’evidenza sulla struttura del capitale della Centrale dei Bilanci copre il periodo 1982-2000 (Majo &amp; Triberti, 2005) e non documenta gli sviluppi successivi. Le evidenze convergono comunque su un punto: le PMI dominano numericamente il sistema, con i due terzi delle imprese italiane (Majo &amp; Triberti, 2005) e l’ossatura del sistema lombardo (Proto et al., 2012), ma la loro opacità informativa e la scarsa affidabilità dei bilanci (CIAMPI &amp; GORDINI, 2018, p. 2) ne condizionano strutturalmente l’accesso ai capitali.</w:t>
      </w:r>
    </w:p>
    <w:p>
      <w:pPr>
        <w:pStyle w:val="Heading2"/>
      </w:pPr>
      <w:r>
        <w:rPr/>
        <w:t>1.2 La dipendenza dal canale bancario e la leva finanziaria</w:t>
      </w:r>
    </w:p>
    <w:p>
      <w:pPr/>
      <w:r>
        <w:rPr/>
        <w:t>Il sistema finanziario italiano si caratterizza come bank-based, con una diffusa presenza di banche locali le cui strategie operative sono tipicamente di relationship lending piuttosto che di transaction lending (Brighi, 2009). Questa peculiarità territoriale non è marginale: la presenza sul territorio nazionale di molte banche locali rappresenta, nella fase attuale della crisi, una leva sulla base della quale rilanciare lo sviluppo dell’economia (Brighi, 2009).</w:t>
      </w:r>
    </w:p>
    <w:p>
      <w:pPr/>
      <w:r>
        <w:rPr/>
        <w:t>Il relationship lending si fonda sull’accumulo di informazioni relazionali nel tempo, un aspetto tanto più rilevante quanto più le imprese minori risultano opache. La difficoltà di ricostruire il rapporto banca-impresa dai soli dati di bilancio ha imposto agli studiosi il ricorso a un’indagine campionaria ad hoc su 4000 imprese, condotta da Isae-ANBP (Majo &amp; Triberti, 2005). La rilevanza del comparto è documentata: le piccole imprese rappresentano i due terzi di tutte le imprese italiane (Majo &amp; Triberti, 2005).</w:t>
      </w:r>
    </w:p>
    <w:p>
      <w:pPr/>
      <w:r>
        <w:rPr/>
        <w:t>La centralità del canale bancario si accompagna a un’elevata leva finanziaria delle imprese minori. L’evidenza sulla struttura del capitale del settore «corporate» di piccola dimensione è ricostruita dai bilanci della Centrale dei Bilanci per il periodo 1982-2000 (Majo &amp; Triberti, 2005), mentre i dati sulle imprese non costituite in forma societaria provengono dall’Istat (Majo &amp; Triberti, 2005). Le teorie standard sulla struttura finanziaria e sulla dimensione d’impresa offrono solo un quadro generale del funzionamento delle piccole imprese, e i modelli devono integrare le evidenze empiriche per spiegare le scelte finanziarie delle PMI nei diversi contesti istituzionali (Majo &amp; Triberti, 2005).</w:t>
      </w:r>
    </w:p>
    <w:p>
      <w:pPr/>
      <w:r>
        <w:rPr/>
        <w:t xml:space="preserve">Il modello di intermediazione bancaria è stato oggetto di revisione dopo la crisi. Il modello di banca universale affermatosi al termine del consolidamento degli anni Novanta è stato modificato dalla crisi finanziaria (Brighi, 2009). La rivoluzione delle tecnologie della comunicazione e dell’informazione ha favorito l’innovazione finanziaria, la standardizzazione degli strumenti e la riduzione dei costi di relazione con la clientela, incoraggiando il passaggio dal modello </w:t>
      </w:r>
      <w:r>
        <w:rPr>
          <w:i/>
        </w:rPr>
        <w:t>originate to hold</w:t>
      </w:r>
      <w:r>
        <w:rPr/>
        <w:t xml:space="preserve"> a quello </w:t>
      </w:r>
      <w:r>
        <w:rPr>
          <w:i/>
        </w:rPr>
        <w:t>originate to distribute</w:t>
      </w:r>
      <w:r>
        <w:rPr/>
        <w:t xml:space="preserve"> (Brighi, 2009).</w:t>
      </w:r>
    </w:p>
    <w:p>
      <w:pPr/>
      <w:r>
        <w:rPr/>
        <w:t>La crisi dei mercati del biennio 2007-2008 ha messo in discussione la preferibilità dei modelli di intermediazione orientati verso i meccanismi di mercato (Beccalli et al., 2009). L’analisi dei modelli di business delle banche europee verifica in quale misura la risposta dei mercati nelle fasi precedenti e contestuali alla crisi sia direttamente ricollegabile al modello di intermediazione prescelto (Beccalli et al., 2009). La conclusione documentata è che la crisi impone alle banche una revisione del proprio ruolo nell’architettura dei sistemi finanziari e un recupero di talune specificità del business tradizionale di intermediazione (Beccalli et al., 2009).</w:t>
      </w:r>
    </w:p>
    <w:p>
      <w:pPr/>
      <w:r>
        <w:rPr/>
        <w:t>Emerge così un contrasto: mentre i modelli market-oriented sono stati messi in crisi e richiedono un ritorno alle funzioni tradizionali (Beccalli et al., 2009), il modello relationship-based delle banche locali italiane viene indicato come leva di rilancio proprio nella fase critica (Brighi, 2009). Un limite di trasferibilità va segnalato: l’evidenza sulla struttura del capitale copre il periodo 1982-2000 (Majo &amp; Triberti, 2005) e non documenta l’evoluzione successiva della leva finanziaria delle PMI italiane.</w:t>
      </w:r>
    </w:p>
    <w:p>
      <w:pPr>
        <w:pStyle w:val="Heading2"/>
      </w:pPr>
      <w:r>
        <w:rPr/>
        <w:t>1.3 Razionamento del credito, asimmetrie informative e credit crunch</w:t>
      </w:r>
    </w:p>
    <w:p>
      <w:pPr/>
      <w:r>
        <w:rPr/>
        <w:t>Nel 2015 i prestiti bancari sono cresciuti per le imprese di maggiore dimensione, mentre hanno continuato a contrarsi per quelle più piccole (Patti &amp; Russo, 2017). Il divario permane anche confrontando aziende dello stesso settore o con condizioni di bilancio simili (Patti &amp; Russo, 2017).</w:t>
      </w:r>
    </w:p>
    <w:p>
      <w:pPr/>
      <w:r>
        <w:rPr/>
        <w:t>Le stime econometriche riconducono la contrazione soprattutto alle microimprese e alle aziende più rischiose, a parità di redditività, liquidità, dinamica del fatturato, spesa per investimenti, settore e area geografica (Patti &amp; Russo, 2017). Il controllo per queste caratteristiche isola l’effetto dimensionale e di rischio dal resto della composizione settoriale.</w:t>
      </w:r>
    </w:p>
    <w:p>
      <w:pPr/>
      <w:r>
        <w:rPr/>
        <w:t>La fragilità finanziaria delle microimprese, legata in particolare al maggiore indebitamento, spiega oltre il 70 per cento della differenza nel tasso di variazione dei prestiti rispetto alle grandi aziende (Patti &amp; Russo, 2017). Verso le piccole e medie imprese, la stessa fragilità spiega circa il 40 per cento del divario (Patti &amp; Russo, 2017). Questi due valori misurano quanto del razionamento derivi da caratteristiche di domanda e di bilancio dell’impresa.</w:t>
      </w:r>
    </w:p>
    <w:p>
      <w:pPr/>
      <w:r>
        <w:rPr/>
        <w:t>Una quota non trascurabile dei divari resta però non spiegata dalle caratteristiche aziendali considerate (Patti &amp; Russo, 2017). La fonte attribuisce questo residuo a possibili fattori di offerta, connessi con una minore propensione di alcune banche a finanziare imprese di piccola dimensione (Patti &amp; Russo, 2017). Il razionamento non è quindi riconducibile alla sola fragilità dell’impresa: una parte dipende dalle scelte di offerta bancaria.</w:t>
      </w:r>
    </w:p>
    <w:p>
      <w:pPr/>
      <w:r>
        <w:rPr/>
        <w:t>Il meccanismo sottostante è l’asimmetria informativa che grava sulle piccole imprese. La valutazione del merito creditizio si scontra con la limitatezza qualitativa dei dati disponibili, influenzati dai giudizi soggettivi del management (CIAMPI &amp; GORDINI, 2018, p. 1). Questo circoscrive la portata delle inferenze possibili sul default e alimenta comportamenti prudenziali delle banche.</w:t>
      </w:r>
    </w:p>
    <w:p>
      <w:pPr/>
      <w:r>
        <w:rPr/>
        <w:t>I modelli predittivi possono attenuare, ma non eliminare, l’eccesso di razionamento. Su un campione di 736 piccole imprese italiane, la regressione logistica applicata a quattro modelli mostra che l’aggiunta di variabili territoriali migliora l’accuratezza previsionale (CIAMPI &amp; GORDINI, 2018, p. 1). L’incremento di imprese correttamente classificate rispetto al modello base raggiunge 14,5 punti nel modello 4 sul training sample aggregato (CIAMPI &amp; GORDINI, 2018, p. 14). Sui sotto-campioni per classe dimensionale l’accuratezza sale dal 71,5 al 79,1 per cento (CIAMPI &amp; GORDINI, 2018, p. 17).</w:t>
      </w:r>
    </w:p>
    <w:p>
      <w:pPr/>
      <w:r>
        <w:rPr/>
        <w:t>Il beneficio operativo è la riduzione dell’errore di Tipo II, cioè dei default previsti che non si verificano (CIAMPI &amp; GORDINI, 2018, p. 17). Integrare le variabili relative alla relazione impresa-territorio nei modelli di credit rating consente di limitare i comportamenti orientati a un eccessivo razionamento del credito (CIAMPI &amp; GORDINI, 2018, p. 1). Il potenziale predittivo è particolarmente rilevante per le classi dimensionali inferiori (CIAMPI &amp; GORDINI, 2018, p. 1), cioè proprio i soggetti più esposti alla contrazione documentata per il 2015.</w:t>
      </w:r>
    </w:p>
    <w:p>
      <w:pPr/>
      <w:r>
        <w:rPr/>
        <w:t>Un limite pesa su questa conclusione: le variabili qualitative del modello sono influenzate dalle percezioni soggettive del management, e non sono incluse variabili sulla relazione impresa-sistema finanziario (CIAMPI &amp; GORDINI, 2018, p. 1). La qualità informativa che alimenta i modelli è la stessa opacità che genera il razionamento.</w:t>
      </w:r>
    </w:p>
    <w:p>
      <w:pPr/>
      <w:r>
        <w:rPr/>
        <w:t>Il razionamento assume forme diverse in fase di crisi, quando cambiano le modalità di accesso al credito, in particolare le garanzie richieste (Udell, 2010). I nuovi modelli servono a esaminare il comportamento delle banche estere e l’efficacia dei programmi pubblici di garanzia durante la crisi (Udell, 2010). Il ruolo delle PMI come motore fuori dalla recessione risulta compromesso proprio quando esse non possono accedere ai finanziamenti esterni (Udell, 2010).</w:t>
      </w:r>
    </w:p>
    <w:p>
      <w:pPr>
        <w:pStyle w:val="Heading1"/>
      </w:pPr>
      <w:r>
        <w:rPr/>
        <w:t>2. Il fintech e le piattaforme di lending alternativo</w:t>
      </w:r>
    </w:p>
    <w:p>
      <w:pPr>
        <w:pStyle w:val="Heading2"/>
      </w:pPr>
      <w:r>
        <w:rPr/>
        <w:t>2.1 Definizione ed evoluzione del fintech</w:t>
      </w:r>
    </w:p>
    <w:p>
      <w:pPr/>
      <w:r>
        <w:rPr/>
        <w:t>Il fintech designa l’applicazione di nuove tecnologie ai servizi finanziari (Abad-Segura et al., 2020). Questa definizione emerge da un’analisi bibliometrica condotta su 2012 articoli pubblicati tra il 1975 e il 2019 (Abad-Segura et al., 2020).</w:t>
      </w:r>
    </w:p>
    <w:p>
      <w:pPr/>
      <w:r>
        <w:rPr/>
        <w:t>L’attività scientifica sul tema è cresciuta soprattutto nell’ultimo decennio, che concentra il 45% delle pubblicazioni (Abad-Segura et al., 2020). Le principali aree tematiche identificate sono Business, Management and Accounting, Engineering, Social Sciences e Computer Science (Abad-Segura et al., 2020). Lo studio individua sette linee di ricerca, riferite agli aspetti finanziario, economico, del trasferimento tecnologico, dell’investimento, dell’innovazione, delle partnership e istituzioni, e commerciale (Abad-Segura et al., 2020).</w:t>
      </w:r>
    </w:p>
    <w:p>
      <w:pPr/>
      <w:r>
        <w:rPr/>
        <w:t>Una prospettiva diversa ricostruisce l’evoluzione storica del fenomeno. Nel 1967 il primo ATM fu installato in una filiale della Barclays Bank a Enfield, nella zona nord di Londra (Kou &amp; Lu, 2025, p. 2). Negli anni Settanta nacque il NASDAQ, la prima borsa valori digitale al mondo (Kou &amp; Lu, 2025, p. 2). Intorno al 1998 comparve PayPal, e una nuova ondata di innovazione, trainata soprattutto da nuovi operatori e start-up, diede origine al riconoscimento del FinTech (Kou &amp; Lu, 2025, p. 2).</w:t>
      </w:r>
    </w:p>
    <w:p>
      <w:pPr/>
      <w:r>
        <w:rPr/>
        <w:t>L’iPhone ha avviato l’adozione globale degli smartphone, diventati la modalità primaria di accesso a Internet e ai servizi finanziari (Kou &amp; Lu, 2025, p. 2). Pagamenti mobile e P2P, prestito digitale e rimesse tramite wallet transfrontalieri sono esempi di attività innovative guidate dal FinTech (Kou &amp; Lu, 2025, p. 2). L’ascesa del fintech si fonda su decentralizzazione, disintermediazione e intelligenza (Kou &amp; Lu, 2025, p. 2).</w:t>
      </w:r>
    </w:p>
    <w:p>
      <w:pPr/>
      <w:r>
        <w:rPr/>
        <w:t>Le tecnologie emergenti individuate sono l’intelligenza artificiale, il machine learning e la blockchain (Kou &amp; Lu, 2025, p. 4). La blockchain è descritta come una tecnologia a registro distribuito e decentralizzato che garantisce una registrazione sicura, trasparente e resistente alla manomissione (Kou &amp; Lu, 2025, p. 18). Le pubblicazioni annuali sui temi blockchain e finanza crescono da 4 nel 2016 a 41 nel 2022 e 47 nel 2023 (Kou &amp; Lu, 2025, p. 19).</w:t>
      </w:r>
    </w:p>
    <w:p>
      <w:pPr/>
      <w:r>
        <w:rPr/>
        <w:t>Le due prospettive – bibliometrica e storico-tecnologica – convergono su un punto: il fintech è un fenomeno maturo. La ricostruzione storica documenta come le banche cerchino di occupare l’intera catena del valore finanziaria (Kou &amp; Lu, 2025, p. 2), mentre le fintech offrono rapidità di sviluppo e le istituzioni consolidate solidità patrimoniale, infrastrutture tecnologiche e accesso al mercato (TOMASI, 2026, p. 40). Il fintech, ridefinendo l’erogazione dei servizi finanziari (Kou &amp; Lu, 2025, p. 5), ridisegna così i confini dell’intermediazione tra fornitori di solidità e fornitori di velocità.</w:t>
      </w:r>
    </w:p>
    <w:p>
      <w:pPr/>
      <w:r>
        <w:rPr/>
        <w:t>Un limite di trasferibilità va segnalato: l’analisi bibliometrica si arresta al 2019 (Abad-Segura et al., 2020) e non documenta gli sviluppi più recenti dell’intelligenza artificiale e del machine learning nel credito.</w:t>
      </w:r>
    </w:p>
    <w:p>
      <w:pPr>
        <w:pStyle w:val="Heading2"/>
      </w:pPr>
      <w:r>
        <w:rPr/>
        <w:t>2.2 Peer-to-peer lending e marketplace lending</w:t>
      </w:r>
    </w:p>
    <w:p>
      <w:pPr/>
      <w:r>
        <w:rPr/>
        <w:t>Le piattaforme di peer-to-peer lending disintermediano il credito connettendo direttamente prestatori e prenditori. Attraverso piattaforme digitali di peer-to-peer lending e algoritmi di valutazione automatizzata del merito creditizio, le Fintech hanno ridotto la distanza tra domanda e offerta di finanziamento, consentendo a imprese e privati di accedere direttamente ai capitali (TOMASI, 2026, p. 46). Il meccanismo modifica la catena del valore del credito, costringendo gli intermediari tradizionali a ripensare i propri modelli operativi e strategici (TOMASI, 2026, p. 46).</w:t>
      </w:r>
    </w:p>
    <w:p>
      <w:pPr/>
      <w:r>
        <w:rPr/>
        <w:t>Il marketplace e il peer-to-peer lending sono collocati dalla letteratura fintech tra le innovazioni centrali del nuovo panorama finanziario (Allen et al., 2021). Il fintech ha un ruolo critico nel democratizzare l’accesso al credito verso i consumatori unbanked e thin-file, mentre anche i soggetti già serviti ricorrono al fintech per servizi più rapidi e maggiore trasparenza (Allen et al., 2021). Questa duplice funzione – inclusione dei non bancarizzati e velocità per i già serviti – inquadra il lending alternativo come strumento di ampliamento e non di mera sostituzione del canale bancario.</w:t>
      </w:r>
    </w:p>
    <w:p>
      <w:pPr/>
      <w:r>
        <w:rPr/>
        <w:t>L’evidenza empirica misura l’effetto sullo sviluppo delle MSME. Uno studio su 86 rispondenti operatori MSME a Surabaya, con approccio quantitativo e analisi Partial Least Square tramite SmartPLS 3, verifica l’influenza di digital payments, P2P lending e marketplace durante la pandemia (Wahyuningrum &amp; Yuhertiana, 2023). I risultati indicano che il peer-to-peer lending ha un effetto sullo sviluppo delle MSME durante la pandemia e che il marketplace incide parimenti sullo sviluppo delle MSME (Wahyuningrum &amp; Yuhertiana, 2023). Nello stesso studio i digital payments non mostrano invece alcun effetto sullo sviluppo delle MSME (Wahyuningrum &amp; Yuhertiana, 2023). Il contrasto interno al medesimo campione isola il canale di finanziamento – e non lo strumento di pagamento – come leva effettiva dello sviluppo delle piccole imprese.</w:t>
      </w:r>
    </w:p>
    <w:p>
      <w:pPr/>
      <w:r>
        <w:rPr/>
        <w:t>Il confronto con l’erogazione bancaria tradizionale emerge dal meccanismo stesso: dove la banca intermedia raccolta ed erogazione, la piattaforma di P2P lending elimina il passaggio intermedio consentendo l’accesso diretto ai capitali (TOMASI, 2026, p. 46). La rapidità del servizio e la maggiore trasparenza sono documentate come motivazioni del ricorso al fintech anche da parte di prenditori già serviti dal sistema bancario (Allen et al., 2021).</w:t>
      </w:r>
    </w:p>
    <w:p>
      <w:pPr/>
      <w:r>
        <w:rPr/>
        <w:t>Un limite di trasferibilità va segnalato: l’evidenza empirica sull’effetto positivo proviene da un campione di 86 MSME localizzate a Surabaya e riferito al contesto pandemico (Wahyuningrum &amp; Yuhertiana, 2023), sicché la sua estensione al tessuto delle PMI italiane resta condizionata dalla diversità dei contesti istituzionali e dimensionali. L’effetto misurato conferma comunque che il canale P2P e il marketplace incidono positivamente sullo sviluppo delle MSME (Wahyuningrum &amp; Yuhertiana, 2023), mentre il meccanismo di disintermediazione ne spiega la maggiore rapidità di accesso ai capitali rispetto al credito bancario (TOMASI, 2026, p. 46).</w:t>
      </w:r>
    </w:p>
    <w:p>
      <w:pPr>
        <w:pStyle w:val="Heading2"/>
      </w:pPr>
      <w:r>
        <w:rPr/>
        <w:t>2.3 Big data, scoring alternativo e valutazione del rischio</w:t>
      </w:r>
    </w:p>
    <w:p>
      <w:pPr/>
      <w:r>
        <w:rPr/>
        <w:t xml:space="preserve">Il credit scoring rappresenta uno degli ambiti in cui il fintech ridisegna in modo più profondo la valutazione del merito creditizio. La survey della letteratura fintech include esplicitamente tra i temi centrali il credit scoring, gli alternative data e l’uso di big data, intelligenza artificiale e machine learning (Allen et al., 2021). Lo stesso lavoro documenta come il fintech svolga un ruolo critico nel democratizzare l’accesso al credito per i consumatori </w:t>
      </w:r>
      <w:r>
        <w:rPr>
          <w:i/>
        </w:rPr>
        <w:t>unbanked</w:t>
      </w:r>
      <w:r>
        <w:rPr/>
        <w:t xml:space="preserve"> e </w:t>
      </w:r>
      <w:r>
        <w:rPr>
          <w:i/>
        </w:rPr>
        <w:t>thin-file</w:t>
      </w:r>
      <w:r>
        <w:rPr/>
        <w:t>, cioè privi di una storia creditizia consolidata (Allen et al., 2021).</w:t>
      </w:r>
    </w:p>
    <w:p>
      <w:pPr/>
      <w:r>
        <w:rPr/>
        <w:t xml:space="preserve">Il meccanismo che rende possibile questa estensione è la capacità di trattare dati non convenzionali. Il machine learning migliora la precisione nel </w:t>
      </w:r>
      <w:r>
        <w:rPr>
          <w:i/>
        </w:rPr>
        <w:t>credit scoring</w:t>
      </w:r>
      <w:r>
        <w:rPr/>
        <w:t xml:space="preserve"> e nelle decisioni di investimento apprendendo da configurazioni storiche dei dati (Kou &amp; Lu, 2025, p. 7). L’intelligenza artificiale accresce l’accuratezza nella valutazione del rischio, nel rilevamento delle frodi e nella profilazione della clientela (Kou &amp; Lu, 2025, p. 7).</w:t>
      </w:r>
    </w:p>
    <w:p>
      <w:pPr/>
      <w:r>
        <w:rPr/>
        <w:t xml:space="preserve">Accanto agli algoritmi predittivi, la letteratura documenta un secondo filone: l’infrastruttura di condivisione dei dati creditizi. La verifica dell’identità basata su blockchain aggiunge un livello di affidabilità e sicurezza alle procedure di credit scoring, favorendo pratiche di </w:t>
      </w:r>
      <w:r>
        <w:rPr>
          <w:i/>
        </w:rPr>
        <w:t>underwriting</w:t>
      </w:r>
      <w:r>
        <w:rPr/>
        <w:t xml:space="preserve"> più solide (Kou &amp; Lu, 2025, p. 6).</w:t>
      </w:r>
    </w:p>
    <w:p>
      <w:pPr/>
      <w:r>
        <w:rPr/>
        <w:t xml:space="preserve">Su questo secondo filone il modello proposto per la supply chain finance è più specifico. Nel sistema del credito di filiera persistono barriere ai dati creditizi: registri incompleti, informazioni false e bassa sicurezza dei dati (Zheng et al., 2022). La tecnologia blockchain è indicata come strumento per migliorare la capacità di </w:t>
      </w:r>
      <w:r>
        <w:rPr>
          <w:i/>
        </w:rPr>
        <w:t>credit reporting</w:t>
      </w:r>
      <w:r>
        <w:rPr/>
        <w:t xml:space="preserve"> attraverso maggiore integrità, decentralizzazione, trasparenza, sicurezza e affidabilità (Zheng et al., 2022). Il modello adotta un meccanismo di consenso per gestire l’ampiezza dei dati d’indagine creditizia e la protezione della privacy, realizzando controllo degli accessi e gestione della catena dei dati condivisi (Zheng et al., 2022).</w:t>
      </w:r>
    </w:p>
    <w:p>
      <w:pPr/>
      <w:r>
        <w:rPr/>
        <w:t>Il confronto tra i due filoni chiarisce la natura complementare delle tecnologie. Lo scoring basato su dati alternativi amplia la platea dei valutabili; l’infrastruttura di condivisione ne assicura l’integrità informativa a monte. Il primo riduce le barriere informative sul lato della valutazione, la seconda sul lato della disponibilità e qualità del dato.</w:t>
      </w:r>
    </w:p>
    <w:p>
      <w:pPr/>
      <w:r>
        <w:rPr/>
        <w:t xml:space="preserve">Le stesse fonti segnalano però nuovi rischi. Il meccanismo di consenso blockchain esistente presenta bassa sicurezza e un elevato consumo di risorse, tanto da rendere necessario progettarne uno nuovo per il sistema di credit reporting (Zheng et al., 2022). Un limite pesa inoltre sulla valutazione algoritmica del rischio: i modelli di machine learning e deep learning operano come </w:t>
      </w:r>
      <w:r>
        <w:rPr>
          <w:i/>
        </w:rPr>
        <w:t>black box</w:t>
      </w:r>
      <w:r>
        <w:rPr/>
        <w:t>, con relazioni interne di difficile interpretazione (Kou &amp; Lu, 2025, p. 24). Questa opacità condiziona la piena affidabilità dello scoring alternativo, poiché una decisione di merito creditizio non pienamente ricostruibile rimane difficile da giustificare verso il prenditore. La sicurezza dei dati emerge quindi non come corollario ma come condizione necessaria: l’intelligenza artificiale contribuisce essa stessa alla sicurezza mediante il rilevamento di anomalie e di pattern indicativi di attività fraudolente (Kou &amp; Lu, 2025, p. 7).</w:t>
      </w:r>
    </w:p>
    <w:p>
      <w:pPr>
        <w:pStyle w:val="Heading1"/>
      </w:pPr>
      <w:r>
        <w:rPr/>
        <w:t>3. Crowdfunding e minibond come strumenti complementari</w:t>
      </w:r>
    </w:p>
    <w:p>
      <w:pPr>
        <w:pStyle w:val="Heading2"/>
      </w:pPr>
      <w:r>
        <w:rPr/>
        <w:t>3.1 Le forme di crowdfunding per le PMI</w:t>
      </w:r>
    </w:p>
    <w:p>
      <w:pPr/>
      <w:r>
        <w:rPr/>
        <w:t>Il crowdfunding consiste nell’utilizzo di piattaforme digitali per finanziare progetti mediante contributi economici di entità ridotta offerti da privati (TOMASI, 2026, p. 46). I contributi assumono tre configurazioni distinte: partecipazioni azionarie (equity), prestiti o donazioni (TOMASI, 2026, p. 46). Alle donazioni si accompagnano talvolta ricompense simboliche, quali anteprime di opere artistiche (TOMASI, 2026, p. 46).</w:t>
      </w:r>
    </w:p>
    <w:p>
      <w:pPr/>
      <w:r>
        <w:rPr/>
        <w:t>Questa tassonomia isola tre canali di raccolta con natura giuridica diversa. L’equity crowdfunding raccoglie capitale di rischio mediante partecipazioni azionarie; il lending crowdfunding raccoglie capitale di debito mediante prestiti; il reward crowdfunding raccoglie contributi a fronte di ricompense simboliche (TOMASI, 2026, p. 46). La differenza non è di piattaforma ma di titolo della raccolta: proprietà, credito o liberalità.</w:t>
      </w:r>
    </w:p>
    <w:p>
      <w:pPr/>
      <w:r>
        <w:rPr/>
        <w:t>L’inquadramento di letteratura colloca il crowdfunding nel medesimo panorama fintech del marketplace e del peer-to-peer lending (Allen et al., 2021). La survey censisce il P2P lending tra le innovazioni che ridisegnano l’intero panorama finanziario (Allen et al., 2021), e il lending crowdfunding condivide con esso il meccanismo di raccolta diretta del debito. Le due fonti convergono così su un punto: il crowdfunding non è un canale isolato, ma una componente dello stesso ecosistema che democratizza l’accesso al credito (Allen et al., 2021).</w:t>
      </w:r>
    </w:p>
    <w:p>
      <w:pPr/>
      <w:r>
        <w:rPr/>
        <w:t>La platea delle imprese abilitate si è ampliata progressivamente fino a ricomprendere l’intero universo delle PMI (TOMASI, 2026, p. 52). Epic (www.epic.it) è la prima piattaforma in Italia che permette a investitori qualificati di finanziare piccole e medie imprese attraverso mini-bond o azioni (TOMASI, 2026, p. 52). Il portale coniuga così, sullo stesso strumento tecnologico, raccolta di debito e raccolta di capitale di rischio.</w:t>
      </w:r>
    </w:p>
    <w:p>
      <w:pPr/>
      <w:r>
        <w:rPr/>
        <w:t>Sui requisiti di accesso degli investitori la disciplina differenzia due regimi. Le piattaforme iscritte nella sezione ordinaria possono definire autonomamente eventuali requisiti di accesso degli investitori, anche in termini patrimoniali e di esperienza (TOMASI, 2026, p. 52). Si tratta di criteri non imposti dalla legge ma rimessi alla discrezionalità del gestore (TOMASI, 2026, p. 52). Diversamente, gli intermediari vigilati restano soggetti alla disciplina MiFID e alle regole Consob (TOMASI, 2026, p. 52).</w:t>
      </w:r>
    </w:p>
    <w:p>
      <w:pPr/>
      <w:r>
        <w:rPr/>
        <w:t>Ne deriva un’asimmetria regolamentare: il portale ordinario gode di discrezionalità sull’ammissione degli investitori, mentre l’intermediario vigilato è vincolato dalla profilatura MiFID (TOMASI, 2026, p. 52). La discrezionalità del gestore sui requisiti costituisce la leva che consente alle piattaforme di calibrare l’apertura della raccolta.</w:t>
      </w:r>
    </w:p>
    <w:p>
      <w:pPr/>
      <w:r>
        <w:rPr/>
        <w:t>Un limite di trasferibilità condiziona l’estensione della conclusione: l’evidenza documenta la struttura normativo-operativa italiana e il caso Epic (TOMASI, 2026, p. 52), ma non fornisce dati sui volumi effettivamente raccolti dalle PMI tramite i tre canali. L’inquadramento resta pertanto tassonomico più che quantitativo, poiché la survey censisce il fenomeno senza misurarne l’incidenza sulle PMI italiane (Allen et al., 2021).</w:t>
      </w:r>
    </w:p>
    <w:p>
      <w:pPr>
        <w:pStyle w:val="Heading2"/>
      </w:pPr>
      <w:r>
        <w:rPr/>
        <w:t>3.2 I minibond e la finanza obbligazionaria per le PMI</w:t>
      </w:r>
    </w:p>
    <w:p>
      <w:pPr/>
      <w:r>
        <w:rPr/>
        <w:t>I minibond costituiscono strumenti di debito che consentono alle piccole e medie imprese di raccogliere capitale al di fuori del canale bancario, attraverso il collocamento presso investitori qualificati su piattaforme dedicate (TOMASI, 2026, p. 52). La piattaforma Epic è documentata come la prima in Italia a permettere a investitori qualificati di finanziare le PMI mediante mini-bond o azioni (TOMASI, 2026, p. 52).</w:t>
      </w:r>
    </w:p>
    <w:p>
      <w:pPr/>
      <w:r>
        <w:rPr/>
        <w:t>Il collocamento di minibond avviene dunque per il tramite di portali online, con una platea di emittenti che si è progressivamente ampliata. La piattaforma Epic ha esteso i soggetti abilitati a raccogliere capitale online fino a ricomprendervi l’intero universo delle PMI (TOMASI, 2026, p. 52). Questo ampliamento apre alle imprese minori un canale obbligazionario prima riservato a emittenti di maggiore dimensione.</w:t>
      </w:r>
    </w:p>
    <w:p>
      <w:pPr/>
      <w:r>
        <w:rPr/>
        <w:t>L’accesso resta condizionato a due presupposti operativi. Il primo è la natura qualificata dell’investitore ammesso al finanziamento tramite mini-bond o azioni (TOMASI, 2026, p. 52). Il secondo è l’iscrizione della piattaforma, che veicola il collocamento in forma disintermediata ma regolata.</w:t>
      </w:r>
    </w:p>
    <w:p>
      <w:pPr/>
      <w:r>
        <w:rPr/>
        <w:t>Il regime di vigilanza distingue due categorie di operatori. Le piattaforme iscritte nella sezione ordinaria possono definire autonomamente eventuali requisiti di accesso degli investitori, anche in termini patrimoniali e di esperienza (TOMASI, 2026, p. 52). Si tratta di criteri non imposti dalla legge ma rimessi alla discrezionalità del gestore (TOMASI, 2026, p. 52). Gli intermediari vigilati restano invece soggetti alla disciplina MiFID e alle regole Consob (TOMASI, 2026, p. 52).</w:t>
      </w:r>
    </w:p>
    <w:p>
      <w:pPr/>
      <w:r>
        <w:rPr/>
        <w:t>Ne discende una diversificazione delle fonti di debito per l’impresa emittente. Il minibond affianca al credito bancario un accesso diretto ai capitali degli investitori qualificati, riducendo la distanza tra domanda e offerta di finanziamento propria delle piattaforme digitali (TOMASI, 2026, p. 46). La disintermediazione che caratterizza il P2P lending si estende così alla componente obbligazionaria, dove la banca non intermedia più raccolta ed erogazione.</w:t>
      </w:r>
    </w:p>
    <w:p>
      <w:pPr/>
      <w:r>
        <w:rPr/>
        <w:t>Un limite di trasferibilità condiziona la portata di questa conclusione: l’evidenza descrive la struttura normativo-operativa italiana e il caso della piattaforma Epic (TOMASI, 2026, p. 52), ma non fornisce dati sui volumi delle emissioni collocate né sul tasso di successo delle raccolte. L’inquadramento resta pertanto qualitativo. Ciò che l’evidenza consente di stabilire è che il minibond apre alle PMI il mercato obbligazionario in forma disintermediata, ma soggetta a un doppio regime di ammissione: discrezionale per i portali ordinari, vincolato alla profilatura MiFID e alle regole Consob per gli intermediari vigilati (TOMASI, 2026, p. 52).</w:t>
      </w:r>
    </w:p>
    <w:p>
      <w:pPr>
        <w:pStyle w:val="Heading2"/>
      </w:pPr>
      <w:r>
        <w:rPr/>
        <w:t>3.3 Complementarità dei canali alternativi con il credito bancario</w:t>
      </w:r>
    </w:p>
    <w:p>
      <w:pPr/>
      <w:r>
        <w:rPr/>
        <w:t>Le Fintech hanno ridotto la distanza tra domanda e offerta di finanziamento tramite piattaforme di peer-to-peer lending, crowdfunding e algoritmi di valutazione automatizzata del merito creditizio, consentendo l’accesso diretto ai capitali (TOMASI, 2026, p. 46). Questa evoluzione ha modificato la catena del valore del credito, costringendo gli intermediari tradizionali a ripensare i propri modelli operativi e strategici (TOMASI, 2026, p. 46).</w:t>
      </w:r>
    </w:p>
    <w:p>
      <w:pPr/>
      <w:r>
        <w:rPr/>
        <w:t>La formulazione dell’evidenza è dirimente per la domanda della sezione: gli intermediari sono spinti a ripensare i modelli, non a scomparire. Il testo riferisce infatti l’evoluzione al ruolo tradizionale delle banche nella raccolta del risparmio e nell’erogazione del credito (TOMASI, 2026, p. 46), che resta il presupposto dell’analisi. La disintermediazione documentata incide sulla catena del valore, ma non ne cancella gli anelli bancari.</w:t>
      </w:r>
    </w:p>
    <w:p>
      <w:pPr/>
      <w:r>
        <w:rPr/>
        <w:t>Sul versante bancario, la crisi dei mercati del biennio 2007-2008 impone alle banche una revisione del proprio ruolo nell’architettura dei sistemi finanziari e un recupero di talune specificità del business tradizionale (Beccalli et al., 2009). L’analisi verifica in quale misura la risposta dei mercati sia ricollegabile al modello di intermediazione prescelto (Beccalli et al., 2009) e individua misure di intervento sui modelli di intermediazione come risposta di medio termine alla crisi (Beccalli et al., 2009).</w:t>
      </w:r>
    </w:p>
    <w:p>
      <w:pPr/>
      <w:r>
        <w:rPr/>
        <w:t>Il confronto tra le due fonti definisce la natura del rapporto. Da un lato la spinta delle Fintech accorcia la distanza tra domanda e offerta di finanziamento (TOMASI, 2026, p. 46); dall’altro la risposta di medio termine alla crisi consiste nel recupero delle specificità del business tradizionale (Beccalli et al., 2009). Le due dinamiche non si elidono: la prima erode i margini di intermediazione sui segmenti standardizzabili, la seconda rilancia le funzioni bancarie meno replicabili dalle piattaforme.</w:t>
      </w:r>
    </w:p>
    <w:p>
      <w:pPr/>
      <w:r>
        <w:rPr/>
        <w:t>La struttura del capitale delle imprese minori spiega perché la diversificazione sia una risposta e non un’alternativa secca. I modelli teorici standard offrono solo un quadro generale per comprendere il funzionamento delle piccole imprese, sicché occorre integrarli con le evidenze empiriche sulle scelte finanziarie nei diversi contesti istituzionali (Majo &amp; Triberti, 2005). L’opacità informativa che caratterizza le PMI italiane, pari ai due terzi delle imprese (Majo &amp; Triberti, 2005), ha reso necessario attingere a fonti eterogenee – Eurostat, Anagrafe Tributaria, Centrale dei Bilanci, Istat – e un’indagine ad hoc su 4000 imprese (Majo &amp; Triberti, 2005). In un contesto così frammentato sul piano informativo, la molteplicità delle fonti di finanziamento risponde alla stessa logica della molteplicità delle fonti di dato: nessun canale singolo copre l’intero fabbisogno.</w:t>
      </w:r>
    </w:p>
    <w:p>
      <w:pPr/>
      <w:r>
        <w:rPr/>
        <w:t>Un limite di trasferibilità condiziona questa conclusione: le evidenze documentano l’esistenza dei canali e la revisione dei modelli bancari, ma non forniscono dati sui volumi che P2P lending, crowdfunding e minibond intercettano rispetto al credito bancario. L’affermazione della complementarità resta pertanto qualitativa. Ciò che l’evidenza consente di stabilire è che lending alternativo, crowdfunding e minibond diversificano le fonti di finanziamento delle PMI e si integrano con il credito bancario più che sostituirlo: le Fintech comprimono l’intermediazione sui segmenti automatizzabili (TOMASI, 2026, p. 46), mentre alle banche è richiesto un recupero delle specificità tradizionali (Beccalli et al., 2009).</w:t>
      </w:r>
    </w:p>
    <w:p>
      <w:pPr>
        <w:pStyle w:val="Heading1"/>
      </w:pPr>
      <w:r>
        <w:rPr/>
        <w:t>4. Evidenze empiriche e confronto con il credito bancario tradizionale</w:t>
      </w:r>
    </w:p>
    <w:p>
      <w:pPr>
        <w:pStyle w:val="Heading2"/>
      </w:pPr>
      <w:r>
        <w:rPr/>
        <w:t>4.1 Dati e rapporti istituzionali sull'accesso al credito</w:t>
      </w:r>
    </w:p>
    <w:p>
      <w:pPr/>
      <w:r>
        <w:rPr/>
        <w:t>L’evidenza econometrica della Banca d’Italia documenta un andamento divergente del credito nel 2015. I prestiti bancari sono cresciuti per le imprese di maggiore dimensione mentre hanno continuato a contrarsi per quelle più piccole (Patti &amp; Russo, 2017). Il divario permane anche fra aziende dello stesso settore o con condizioni di bilancio simili (Patti &amp; Russo, 2017).</w:t>
      </w:r>
    </w:p>
    <w:p>
      <w:pPr/>
      <w:r>
        <w:rPr/>
        <w:t>Le stime confermano, a parità di redditività, liquidità, dinamica del fatturato, spesa per investimenti, settore e area geografica, che il credito si è ridotto soprattutto per le microimprese e per le aziende più rischiose (Patti &amp; Russo, 2017). La maggiore fragilità finanziaria delle microimprese, legata al più elevato indebitamento, spiega oltre il 70 per cento della differenza nel tasso di variazione dei prestiti rispetto alle grandi aziende e circa il 40 rispetto alle piccole e medie imprese (Patti &amp; Russo, 2017). Una parte non trascurabile dei divari resta non spiegata dalle caratteristiche aziendali considerate, e potrebbe riflettere una minore propensione di alcune banche a finanziare le imprese di piccola dimensione (Patti &amp; Russo, 2017).</w:t>
      </w:r>
    </w:p>
    <w:p>
      <w:pPr/>
      <w:r>
        <w:rPr/>
        <w:t>La dinamica dei prestiti si accompagna a quella dei crediti deteriorati. Un approccio SVAR ai determinanti macroeconomici e finanziari dei bad loans verifica se i prestiti eccessivi concessi nelle fasi espansive spieghino l’aumento più che proporzionale dei crediti deteriorati nelle fasi recessive (Caporale et al., 2013). Gli effetti di uno shock permanente ai bad loans sull’eccesso di credito risultano significativi e persistenti per i prestiti alle imprese, ma non per quelli alle famiglie né per le Banche di Credito Cooperativo, che adottano politiche di prestito più efficienti (Caporale et al., 2013). La prociclicità del rischio di credito si concentra dunque sul comparto delle imprese.</w:t>
      </w:r>
    </w:p>
    <w:p>
      <w:pPr/>
      <w:r>
        <w:rPr/>
        <w:t>Il confronto fra la dinamica dei prestiti (Patti &amp; Russo, 2017) e quella degli NPL (Caporale et al., 2013) indica che i segmenti più fragili subiscono al contempo la contrazione dell’offerta e la persistenza del deterioramento.</w:t>
      </w:r>
    </w:p>
    <w:p>
      <w:pPr/>
      <w:r>
        <w:rPr/>
        <w:t>La modellistica del rischio interviene proprio su questo punto. Su un campione di 736 piccole imprese italiane, la regressione logistica applicata a quattro modelli mostra che le variabili territoriali e, ancor più, quelle sulla relazione impresa-territorio migliorano l’accuratezza previsionale del default (CIAMPI &amp; GORDINI, 2018, p. 1). Sul modello aggregato, le imprese correttamente classificate salgono dal 65,0 per cento del Modello 1 al 74,4 del Modello 4 (CIAMPI &amp; GORDINI, 2018, p. 14). Elaborati per classe dimensionale, i modelli evidenziano una capacità previsionale significativamente più elevata, con il maggiore incremento nella prima classe dimensionale (CIAMPI &amp; GORDINI, 2018, p. 15).</w:t>
      </w:r>
    </w:p>
    <w:p>
      <w:pPr/>
      <w:r>
        <w:rPr/>
        <w:t>L’impiego congiunto di tali variabili riduce l’errore di Tipo II e può limitare la tendenza a un eccessivo razionamento del credito (CIAMPI &amp; GORDINI, 2018, p. 17). Un limite pesa sulla conclusione: i dati qualitativi sono influenzati dalle percezioni soggettive del management e non includono variabili sulla relazione impresa-sistema finanziario (CIAMPI &amp; GORDINI, 2018, p. 1).</w:t>
      </w:r>
    </w:p>
    <w:p>
      <w:pPr>
        <w:pStyle w:val="Heading2"/>
      </w:pPr>
      <w:r>
        <w:rPr/>
        <w:t>4.2 Costi, tassi e condizioni di accesso a confronto</w:t>
      </w:r>
    </w:p>
    <w:p>
      <w:pPr/>
      <w:r>
        <w:rPr/>
        <w:t>Le condizioni del credito bancario, incluse le garanzie richieste, non sono stabili ma mutano nel corso di una crisi finanziaria (Udell, 2010). I nuovi modelli sull’accesso al credito delle PMI servono proprio a spiegare come tali modalità cambino durante la crisi, insieme all’efficacia dei programmi pubblici di garanzia (Udell, 2010). La leva delle garanzie pubbliche interviene quindi quando l’irrigidimento delle condizioni bancarie compromette la capacità delle PMI di accedere ai finanziamenti esterni (Udell, 2010).</w:t>
      </w:r>
    </w:p>
    <w:p>
      <w:pPr/>
      <w:r>
        <w:rPr/>
        <w:t>L’irrigidimento non colpisce le imprese in modo uniforme. Nel 2015 i prestiti bancari sono cresciuti per le imprese maggiori e hanno continuato a contrarsi per quelle più piccole, anche a parità di settore e di condizioni di bilancio (Patti &amp; Russo, 2017). Le stime econometriche confermano che la contrazione è stata più pronunciata per le microimprese e per le aziende più rischiose, a parità di redditività, liquidità, dinamica del fatturato, spesa per investimenti, settore e area geografica (Patti &amp; Russo, 2017).</w:t>
      </w:r>
    </w:p>
    <w:p>
      <w:pPr/>
      <w:r>
        <w:rPr/>
        <w:t>Il costo e la disponibilità del credito dipendono dunque dalla fragilità finanziaria del prenditore. La maggiore fragilità delle microimprese, legata soprattutto al più elevato indebitamento, spiega oltre il 70 per cento della differenza nel tasso di variazione dei prestiti rispetto alle grandi aziende e circa il 40 rispetto alle piccole e medie (Patti &amp; Russo, 2017). Una parte non trascurabile del divario non è spiegata dalle caratteristiche aziendali e potrebbe riflettere una minore propensione di alcune banche a finanziare imprese di piccola dimensione (Patti &amp; Russo, 2017). Sul lato bancario, pertanto, le condizioni di accesso restano sensibili alla dimensione e al rischio, e si inaspriscono proprio nei segmenti più deboli.</w:t>
      </w:r>
    </w:p>
    <w:p>
      <w:pPr/>
      <w:r>
        <w:rPr/>
        <w:t>I canali alternativi operano invece su un meccanismo diverso di ammissione. Le piattaforme di peer-to-peer lending e crowdfunding riducono la distanza tra domanda e offerta di finanziamento, consentendo alle imprese di accedere direttamente ai capitali (TOMASI, 2026, p. 46). Le piattaforme iscritte nella sezione ordinaria possono definire autonomamente eventuali requisiti di accesso, anche patrimoniali e di esperienza, trattandosi di criteri rimessi alla discrezionalità del gestore e non imposti dalla legge (TOMASI, 2026, p. 52). Diversamente, gli intermediari vigilati restano soggetti alla disciplina MiFID e alle regole Consob (TOMASI, 2026, p. 52).</w:t>
      </w:r>
    </w:p>
    <w:p>
      <w:pPr/>
      <w:r>
        <w:rPr/>
        <w:t>Il confronto isola due logiche distinte. Le condizioni bancarie reagiscono alla crisi irrigidendo garanzie e disponibilità per i prenditori fragili (Udell, 2010); (Patti &amp; Russo, 2017), mentre l’accesso alle piattaforme dipende da requisiti fissati discrezionalmente dal gestore, con accesso diretto e più rapido ai capitali (TOMASI, 2026, p. 46), p. 52.</w:t>
      </w:r>
    </w:p>
    <w:p>
      <w:pPr/>
      <w:r>
        <w:rPr/>
        <w:t>Un limite condiziona la conclusione: l’evidenza descrive le condizioni di accesso ai canali alternativi ma non ne quantifica i tassi effettivi né i costi comparati (TOMASI, 2026, p. 46). La maggiore agilità documentata riguarda quindi la velocità e i requisiti d’ingresso, non necessariamente un costo inferiore rispetto al credito bancario.</w:t>
      </w:r>
    </w:p>
    <w:p>
      <w:pPr>
        <w:pStyle w:val="Heading2"/>
      </w:pPr>
      <w:r>
        <w:rPr/>
        <w:t>4.3 Effetti sull'inclusione finanziaria e sul funding gap delle PMI</w:t>
      </w:r>
    </w:p>
    <w:p>
      <w:pPr/>
      <w:r>
        <w:rPr/>
        <w:t xml:space="preserve">Il fintech ha un ruolo critico nel democratizzare l’accesso al credito per i consumatori </w:t>
      </w:r>
      <w:r>
        <w:rPr>
          <w:i/>
        </w:rPr>
        <w:t>unbanked</w:t>
      </w:r>
      <w:r>
        <w:rPr/>
        <w:t xml:space="preserve"> e </w:t>
      </w:r>
      <w:r>
        <w:rPr>
          <w:i/>
        </w:rPr>
        <w:t>thin-file</w:t>
      </w:r>
      <w:r>
        <w:rPr/>
        <w:t xml:space="preserve"> a livello globale (Allen et al., 2021). La stessa evidenza documenta che anche i prenditori già ben serviti ricorrono al fintech per servizi più rapidi e maggiore trasparenza (Allen et al., 2021). Il potenziale inclusivo si estende quindi su due fronti: apre l’accesso ai soggetti sotto-serviti e migliora le condizioni di servizio per quelli già bancarizzati.</w:t>
      </w:r>
    </w:p>
    <w:p>
      <w:pPr/>
      <w:r>
        <w:rPr/>
        <w:t>Questo potenziale opera precisamente sul lato delle asimmetrie informative. I canali che ampliano la platea dei valutabili incidono sui soggetti la cui opacità informativa – documentata per le PMI italiane pari ai due terzi delle imprese (Majo &amp; Triberti, 2005) – ne condiziona strutturalmente l’accesso ai capitali. La democratizzazione del credito verso i profili a fascicolo sottile (Allen et al., 2021) agisce così sullo stesso segmento più esposto al razionamento.</w:t>
      </w:r>
    </w:p>
    <w:p>
      <w:pPr/>
      <w:r>
        <w:rPr/>
        <w:t>Dal potenziale si passa all’effetto misurato. Su un campione di 86 MSME di Surabaya, l’analisi con Partial Least Square mostra che il P2P lending e il marketplace incidono positivamente sullo sviluppo delle micro, piccole e medie imprese durante la pandemia, mentre i pagamenti digitali non hanno effetto (Wahyuningrum &amp; Yuhertiana, 2023). È il canale di finanziamento, e non lo strumento di pagamento, a produrre l’effetto sullo sviluppo delle imprese sotto-servite (Wahyuningrum &amp; Yuhertiana, 2023).</w:t>
      </w:r>
    </w:p>
    <w:p>
      <w:pPr/>
      <w:r>
        <w:rPr/>
        <w:t>La cornice di policy colloca il finanziamento tra i domini chiave del sostegno alle PMI. La rassegna OCSE sull’imprenditorialità locale esamina la capacità delle economie locali di sostenere la creazione d’impresa, includendo il finanziamento tra i domini chiave insieme a competenze, infrastrutture di supporto e innovazione (Proto et al., 2012). Per la Lombardia, regione economicamente più forte d’Italia dove le PMI e i loro cluster costituiscono l’ossatura del sistema, il sostegno alle PMI innovative e alle loro reti è indicato come priorità per la ripresa nella persistente crisi finanziaria ed economica (Proto et al., 2012).</w:t>
      </w:r>
    </w:p>
    <w:p>
      <w:pPr/>
      <w:r>
        <w:rPr/>
        <w:t>Un limite di trasferibilità pesa sulla conclusione: l’effetto positivo del lending alternativo è misurato su 86 MSME localizzate a Surabaya e riferito al contesto pandemico (Wahyuningrum &amp; Yuhertiana, 2023), sicché l’estensione al tessuto delle PMI italiane resta condizionata dalla diversità dei contesti istituzionali. L’evidenza consente comunque di stabilire che i canali fintech democratizzano l’accesso per i sotto-serviti (Allen et al., 2021) e che il canale di finanziamento – non il pagamento digitale – incide positivamente sullo sviluppo delle MSME (Wahyuningrum &amp; Yuhertiana, 2023), in un dominio, il finanziamento, riconosciuto come chiave delle politiche di sostegno alle PMI (Proto et al., 2012).</w:t>
      </w:r>
    </w:p>
    <w:p>
      <w:pPr>
        <w:pStyle w:val="Heading1"/>
      </w:pPr>
      <w:r>
        <w:rPr/>
        <w:t>5. Discussione: implicazioni per il finanziamento delle PMI</w:t>
      </w:r>
    </w:p>
    <w:p>
      <w:pPr/>
      <w:r>
        <w:rPr/>
        <w:t>Il confronto tra credito bancario e canali alternativi muove da un dato di razionamento selettivo. Nel 2015 i prestiti bancari sono cresciuti per le imprese maggiori e hanno continuato a contrarsi per quelle minori, con un divario osservabile anche a parità di settore e condizioni di bilancio (Patti &amp; Russo, 2017). Le stime econometriche confermano una contrazione più pronunciata per microimprese e imprese più rischiose, controllando per redditività, liquidità, dinamica del fatturato, investimenti, settore e area geografica (Patti &amp; Russo, 2017).</w:t>
      </w:r>
    </w:p>
    <w:p>
      <w:pPr/>
      <w:r>
        <w:rPr/>
        <w:t>La maggiore fragilità finanziaria delle microimprese spiega oltre il 70 per cento della differenza nel tasso di variazione dei prestiti rispetto alle grandi aziende e circa il 40 rispetto alle piccole e medie (Patti &amp; Russo, 2017). Una parte non trascurabile del divario resta però non spiegata dalle caratteristiche aziendali, e potrebbe riflettere fattori di offerta legati alla minore propensione di alcune banche a finanziare imprese di piccola dimensione (Patti &amp; Russo, 2017). È in questo scarto di offerta che si apre lo spazio per i canali alternativi.</w:t>
      </w:r>
    </w:p>
    <w:p>
      <w:pPr/>
      <w:r>
        <w:rPr/>
        <w:t>Le Fintech riducono la distanza tra domanda e offerta di finanziamento tramite piattaforme di peer-to-peer lending, crowdfunding e algoritmi di valutazione automatizzata del merito creditizio, consentendo l’accesso diretto ai capitali (TOMASI, 2026, p. 46). Questa evoluzione ha modificato la catena del valore del credito e costretto gli intermediari tradizionali a ripensare i propri modelli operativi e strategici (TOMASI, 2026, p. 46). La complementarità con le banche discende proprio da qui: i canali alternativi comprimono l’intermediazione sui segmenti automatizzabili, senza sostituire la funzione bancaria sui segmenti opachi.</w:t>
      </w:r>
    </w:p>
    <w:p>
      <w:pPr/>
      <w:r>
        <w:rPr/>
        <w:t>I canali non bancari introducono tuttavia una fragilità propria. Una misura specifica di fragilità finanziaria dei prestatori shadow bank mostra che la fragilità complessiva del settore è cresciuta costantemente, raggiungendo nel 2021 il valore più alto del decennio (Shan, 2022). Gli shadow bank più fragili sfruttano gli spillover regolamentari favorevoli per costruire quote nel segmento più rischioso, abbassando gli standard di sottoscrizione più degli altri operatori (Shan, 2022).</w:t>
      </w:r>
    </w:p>
    <w:p>
      <w:pPr/>
      <w:r>
        <w:rPr/>
        <w:t>L’offerta di credito degli operatori fragili è inoltre meno elastica rispetto agli shock di domanda (Shan, 2022). Questo esito rovescia il beneficio atteso: proprio quando la domanda delle PMI aumenta in fase avversa, il canale alternativo fragile risponde meno del canale bancario. Gli autori sottolineano la necessità di maggiore attenzione regolatoria verso la fragilità e gli effetti destabilizzanti dei prestatori shadow bank (Shan, 2022).</w:t>
      </w:r>
    </w:p>
    <w:p>
      <w:pPr/>
      <w:r>
        <w:rPr/>
        <w:t>Ne discende un’implicazione per intermediari, imprese e policy. Per gli intermediari, il ripensamento dei modelli è documentato come conseguenza obbligata della compressione dell’intermediazione tradizionale (TOMASI, 2026, p. 46). Per le imprese, la diversificazione delle fonti attenua il razionamento di offerta ma non elimina la ciclicità dei canali non bancari (Shan, 2022); (Patti &amp; Russo, 2017).</w:t>
      </w:r>
    </w:p>
    <w:p>
      <w:pPr/>
      <w:r>
        <w:rPr/>
        <w:t>Un limite condiziona il trasferimento della conclusione: la misura di fragilità è costruita su prestatori mortgage shadow bank, non sul lending fintech alle PMI italiane (Shan, 2022), sicché il rischio di offerta rilevato va assunto come segnale, non come stima diretta del contesto italiano. Resta fermo il punto che i canali alternativi ampliano l’accesso ma trasferiscono parte del rischio dal razionamento bancario alla fragilità dell’offerta non bancaria, meritevole di attenzione regolatoria (Shan, 2022).</w:t>
      </w:r>
    </w:p>
    <w:p>
      <w:pPr>
        <w:pStyle w:val="Heading1"/>
      </w:pPr>
      <w:r>
        <w:rPr/>
        <w:t>Conclusioni e prospettive future</w:t>
      </w:r>
    </w:p>
    <w:p>
      <w:pPr/>
      <w:r>
        <w:rPr/>
        <w:t>Le piccole e medie imprese costituiscono un motore capace di guidare l’economia fuori dalla recessione, un ruolo confermato in termini generali dagli studi sulla creazione di posti di lavoro (Udell, 2010). Tale funzione diventa però difficile da esercitare quando le PMI non riescono ad accedere ai finanziamenti esterni (Udell, 2010). In Italia il problema è strutturale, poiché le piccole imprese rappresentano due terzi di tutte le aziende e sono caratterizzate da un’opacità informativa che ne condiziona l’accesso ai capitali (Majo &amp; Triberti, 2005).</w:t>
      </w:r>
    </w:p>
    <w:p>
      <w:pPr/>
      <w:r>
        <w:rPr/>
        <w:t>Rispetto a questa premessa, l’analisi mostra che il fintech attenua parzialmente i vincoli di credito senza sostituire il canale bancario. Attraverso piattaforme di peer-to-peer lending, crowdfunding e algoritmi di valutazione automatizzata del merito creditizio, le Fintech hanno ridotto la distanza tra domanda e offerta di finanziamento, consentendo a imprese e privati di accedere direttamente ai capitali (TOMASI, 2026, p. 46). Questa evoluzione ha modificato la catena del valore del credito, costringendo gli intermediari tradizionali a ripensare i propri modelli operativi e strategici (TOMASI, 2026, p. 46).</w:t>
      </w:r>
    </w:p>
    <w:p>
      <w:pPr/>
      <w:r>
        <w:rPr/>
        <w:t>Il presupposto dell’analisi resta però il ruolo tradizionale delle banche nella raccolta del risparmio e nell’erogazione del credito (TOMASI, 2026, p. 46). I canali alternativi diversificano le fonti: il crowdfunding finanzia progetti mediante contributi ridotti di privati in forma di equity, prestiti o donazioni (TOMASI, 2026, p. 46), mentre i minibond consentono la raccolta presso investitori qualificati su piattaforme dedicate come Epic, la prima in Italia estesa all’intero universo delle PMI (TOMASI, 2026, p. 52). La risposta alla domanda di ricerca è quindi di complementarità più che di sostituzione: lending alternativo, crowdfunding e minibond integrano il credito bancario, ampliando la platea dei soggetti valutabili proprio dove l’opacità informativa delle PMI ne limita l’accesso (Majo &amp; Triberti, 2005).</w:t>
      </w:r>
    </w:p>
    <w:p>
      <w:pPr/>
      <w:r>
        <w:rPr/>
        <w:t>Due limiti circoscrivono questa conclusione. I dati sulle piccole imprese italiane non sono facilmente disponibili, principalmente a causa dell’opacità informativa del settore, e non si prestano a un’indagine approfondita del rapporto banca-impresa, tanto da imporre il ricorso a un’indagine campionaria ad hoc su 4000 imprese (Majo &amp; Triberti, 2005). Le condizioni del credito, incluse le garanzie richieste, non sono stabili ma mutano nel corso di una crisi finanziaria (Udell, 2010), sicché l’entità dell’attenuazione dei vincoli dipende dalla fase congiunturale e dall’efficacia dei programmi pubblici di garanzia.</w:t>
      </w:r>
    </w:p>
    <w:p>
      <w:pPr/>
      <w:r>
        <w:rPr/>
        <w:t>Le prospettive future riguardano dunque tre livelli: per le PMI, l’ampliamento delle fonti veicolate da piattaforme; per le banche, la necessità di ripensare modelli operativi di fronte a una catena del valore modificata (TOMASI, 2026, p. 46); per la policy, la costruzione di dati meno opachi e di garanzie calibrate sulle fasi di crisi (Udell, 2010).</w:t>
      </w:r>
    </w:p>
    <w:p>
      <w:pPr>
        <w:pStyle w:val="Heading1"/>
      </w:pPr>
      <w:r>
        <w:rPr/>
        <w:t>Bibliografia</w:t>
      </w:r>
    </w:p>
    <w:p>
      <w:pPr/>
      <w:r>
        <w:rPr/>
        <w:t>Abad-Segura, E., González-Zamar, M. D., López-Meneses, E., &amp; Vázquez-Cano, E. (2020).  Financial Technology: Review of Trends, Approaches and Management. Mathematics. https://doi.org/10.3390/math8060951</w:t>
      </w:r>
    </w:p>
    <w:p>
      <w:pPr/>
      <w:r>
        <w:rPr/>
        <w:t>Allen, F., Gu, X., &amp; Jagtiani, J. (2021).  A Survey of Fintech Research and Policy Discussion. Review of Corporate Finance. https://doi.org/10.1561/114.00000007</w:t>
      </w:r>
    </w:p>
    <w:p>
      <w:pPr/>
      <w:r>
        <w:rPr/>
        <w:t>Beccalli, E., Bongini, P., &amp; Patarnello, A. (2009).  Modelli di intermediazione delle banche europee e la valutazione del mercato. BOA (University of Milano-Bicocca)</w:t>
      </w:r>
    </w:p>
    <w:p>
      <w:pPr/>
      <w:r>
        <w:rPr/>
        <w:t>Brighi, P. (2009).  Evoluzione strutturale e reddituale del sistema bancario locale: dieci anni di indicatori di bilancio a confronto (1997-2007). AMS Acta (University of Bologna). https://doi.org/10.6092/unibo/amsacta/2599</w:t>
      </w:r>
    </w:p>
    <w:p>
      <w:pPr/>
      <w:r>
        <w:rPr/>
        <w:t>Caporale, G. M., Colli, S. D., &amp; Lopez, J. S. (2013).  Bank Lending Procyclicality and Credit Quality During Financial Crises.</w:t>
      </w:r>
    </w:p>
    <w:p>
      <w:pPr/>
      <w:r>
        <w:rPr/>
        <w:t>CIAMPI, F., &amp; GORDINI, N. (2018).  Relazione impresa-territorio e modelli predittivi del default d’impresa. Primi risultati di una analisi statistica sulle piccole imprese italiane. Sinergie Italian Journal of Management. https://doi.org/10.7433/s90.2013.05</w:t>
      </w:r>
    </w:p>
    <w:p>
      <w:pPr/>
      <w:r>
        <w:rPr/>
        <w:t>Kou, G., &amp; Lu, Y. (2025).  FinTech: a literature review of emerging financial technologies and applications. Financial Innovation. https://doi.org/10.1186/s40854-024-00668-6</w:t>
      </w:r>
    </w:p>
    <w:p>
      <w:pPr/>
      <w:r>
        <w:rPr/>
        <w:t>Majo, A. D., &amp; Triberti, B. (2005).  LE SCELTE DI FINANZIAMENTO DELLE IMPRESE MINORI: TEORIE E ANALISI DEL CASO ITALIANO. Florence Research (University of Florence)</w:t>
      </w:r>
    </w:p>
    <w:p>
      <w:pPr/>
      <w:r>
        <w:rPr/>
        <w:t>Patti, E. B. D., &amp; Russo, P. F. (2017).  Fragilità Finanziaria Delle Imprese E Allocazione Del Credito (Firms’ Financial Fragility and Credit Allocation).</w:t>
      </w:r>
    </w:p>
    <w:p>
      <w:pPr/>
      <w:r>
        <w:rPr/>
        <w:t>Proto, A., Cusmano, L., MacCallum, N., Pinto, R., &amp; Rosso, P. (2012).  Boosting Local Entrepreneurship and Enterprise Creation in Lombardy Region. OECD Local Economic and Employment Development (LEED) Working Papers. https://doi.org/10.1787/5k8x6l0rxrs2-en</w:t>
      </w:r>
    </w:p>
    <w:p>
      <w:pPr/>
      <w:r>
        <w:rPr/>
        <w:t>Shan, Y. (2022).  Lending in the Shadows: Shadow Bank Financial Fragility and Mortgage Credit.</w:t>
      </w:r>
    </w:p>
    <w:p>
      <w:pPr/>
      <w:r>
        <w:rPr/>
        <w:t>TOMASI, M. (2026).  La regolazione del rischio cibernetico nel mercato bancario. Electronic Theses and Dissertations Repository (University of Pisa)</w:t>
      </w:r>
    </w:p>
    <w:p>
      <w:pPr/>
      <w:r>
        <w:rPr/>
        <w:t>Udell, G. F. (2010).  Il finanziamento delle piccole e medie imprese e la crisi finanziaria: un quadro di riferimento. ARGOMENTI. https://doi.org/10.3280/arg2010-028001</w:t>
      </w:r>
    </w:p>
    <w:p>
      <w:pPr/>
      <w:r>
        <w:rPr/>
        <w:t>Wahyuningrum, R., &amp; Yuhertiana, I. (2023).  THE EFFECT OF DIGITAL PAYMENT, PEER-TO-PEER (P2P) LENDING, AND MARKETPLACE ON THE DEVELOPMENT OF SMEs DURING A PANDEMIC. Jambura Economic Education Journal. https://doi.org/10.37479/jeej.v5i2.18861</w:t>
      </w:r>
    </w:p>
    <w:p>
      <w:pPr/>
      <w:r>
        <w:rPr/>
        <w:t>Zheng, K., Zheng, L. J., Gauthier, J., Zhou, L., Xu, Y., Behl, A., &amp; Zhang, J. Z. (2022).  Blockchain technology for enterprise credit information sharing in supply chain finance. Journal of Innovation &amp; Knowledge. https://doi.org/10.1016/j.jik.2022.100256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L'accesso al credito delle piccole e medie imprese italiane nell'era del fintech: lending alternativo, crowdfunding e ruolo delle banche tradizionali</dc:title>
  <dc:subject/>
  <dc:creator/>
  <cp:keywords/>
  <dc:description/>
  <cp:lastModifiedBy/>
  <cp:revision>1</cp:revision>
  <dcterms:created xsi:type="dcterms:W3CDTF">2026-09-16T16:49:33Z</dcterms:created>
  <dcterms:modified xsi:type="dcterms:W3CDTF">2026-09-16T16:49:33Z</dcterms:modified>
  <cp:category/>
</cp:coreProperties>
</file>