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sorveglianza tecnologica sul lavoro rappresenta oggi uno dei terreni più esposti alla tensione tra il potere organizzativo e di controllo del datore e il diritto del prestatore alla riservatezza. L’innovazione tecnologica ha moltiplicato le occasioni di raccolta dei dati riferibili al lavoratore, sino a rendere strutturalmente ambigua la distinzione tra tempo di lavoro e tempo di vita e a rendere possibile una sorveglianza pervasiva e continua (Ghionzoli, 2025, p. 12). Proprio la potenzialità di una vigilanza «continua e anelastica», idonea a eliminare ogni zona di riservatezza e autonomia nello svolgimento della prestazione, aveva ispirato l’originaria scelta del legislatore del 1970, incentrata sul divieto di apparecchiature «per finalità di controllo a distanza dell’attività dei lavoratori» (Legge 20 maggio 1970, n. 300, p. 1). In questo scenario la presente indagine muove da una domanda di ricerca precisa: in che modo la tutela dei dati personali del lavoratore soggetto a controllo a distanza risulti garantita dall’interazione tra l’art. 4 dello Statuto dei lavoratori e i principi del Regolamento (UE) 2016/679, e se tale interazione configuri un sistema coerente di garanzie o piuttosto una sovrapposizione di regimi.</w:t>
      </w:r>
    </w:p>
    <w:p>
      <w:pPr/>
      <w:r>
        <w:rPr/>
        <w:t>La ricerca, condotta mediante analisi della normativa nazionale ed eurounitaria, della dottrina giuridica italiana e della giurisprudenza di legittimità e convenzionale, nonché della prassi del Garante, conduce a una risposta articolata su un doppio livello di garanzia. Da un lato, la disciplina lavoristica, pur trasformata dalla riforma del Jobs Act – che ha sostituito il divieto generale con una disciplina abilitante subordinata all’accordo sindacale o all’autorizzazione dell’Ispettorato e all’informazione preventiva individuale (Decreto legislativo 14 settembre 2015, n. 151, art. 23, p. 1) – conserva la propria funzione di presidio procedurale. Dall’altro, il GDPR fornisce i principi sostanziali del trattamento e l’apparato dell’accountability. Il raccordo tra i due sistemi non opera per sostituzione, bensì per integrazione: l’art. 88 «ha fatto salve le norme nazionali di maggior tutela […] come l’art. 23 del D.lgs. n. 151/2015» (Ghionzoli, 2025, p. 17), mentre l’art. 114 del Codice privacy incorpora l’osservanza dei presupposti statutari tra le condizioni di liceità del trattamento (Legge 20 maggio 1970, n. 300, p. 13). Esistono, dunque, «diversi e autonomi livelli di garanzia», costituiti dal Codice, dall’art. 4 dello Statuto e dagli artt. 5 e 6 GDPR (Ghionzoli, 2025, p. 18).</w:t>
      </w:r>
    </w:p>
    <w:p>
      <w:pPr/>
      <w:r>
        <w:rPr/>
        <w:t>Alla domanda di ricerca deve pertanto rispondersi nel senso di una complementarità, e non di un’antinomia. La liceità del trattamento è possibile «solo se conforme alle discipline di settore applicabili» (Ghionzoli, 2025, p. 16), sicché la violazione delle garanzie statutarie si riverbera sulla stessa legittimità del trattamento dei dati, saldando i due corpi normativi in un unico regime. La giurisprudenza conferma tale saldatura: la sanzione dell’inutilizzabilità dei dati raccolti in difetto di autorizzazione o di adeguata informazione (Corte di Cassazione, sezione lavoro, ordinanza 3 giugno 2024, n. 15391, p. 5) opera quale presidio dell’effettività del divieto, e la categoria pretoria dei controlli difensivi resta perimetrata dal fondato sospetto e dal limite temporale del dato acquisito ex post (Corte di Cassazione, sezione lavoro, ordinanza 3 giugno 2024, n. 15391, p. 4). Il criterio ordinatore rimane il bilanciamento tra la libertà di iniziativa economica e un nucleo indefettibile di dignità e riservatezza, poiché «in nessun caso può essere giustificato un sostanziale annullamento di ogni forma di garanzia della dignità e riservatezza del lavoratore».</w:t>
      </w:r>
    </w:p>
    <w:p>
      <w:pPr/>
      <w:r>
        <w:rPr/>
        <w:t>L’integrazione tra i due sistemi apre, infine, prospettive rinnovate sul versante collettivo, valorizzando la contrattazione quale strumento di tutela e prospettando finanche l’istituzione di un rappresentante sindacale per la protezione dei dati (Ingrao, 2024). Resta, tuttavia, un limite d’indagine che va dichiarato: le fonti disponibili documentano con precisione il dato normativo, giurisprudenziale e di prassi, ma non consentono di ricostruire in termini empirici l’effettiva applicazione dei principi nelle concrete configurazioni aziendali né la prassi degli accordi sindacali e dell’Ispettorato. L’analisi che segue si muove pertanto entro il perimetro del diritto positivo e della sua interpretazione autorevole.</w:t>
      </w:r>
    </w:p>
    <w:p>
      <w:pPr>
        <w:pStyle w:val="Heading2"/>
      </w:pPr>
      <w:r>
        <w:rPr/>
        <w:t>La formulazione originaria dell'art. 4 dello Statuto dei lavoratori</w:t>
      </w:r>
    </w:p>
    <w:p>
      <w:pPr/>
      <w:r>
        <w:rPr/>
        <w:t>La formulazione originaria dell’art. 4 della legge n. 300/1970 esprimeva una scelta di politica del diritto netta, incentrata sull’affermazione di un divieto quale strumento primario di tutela della persona del lavoratore. Il testo, riportato integralmente nella giurisprudenza di legittimità che ne ha ricostruito la genesi, disponeva al primo comma che «è vietato l’uso di impianti audiovisivi e di altre apparecchiature per finalità di controllo a distanza dell’attività dei lavoratori» (Corte di Cassazione, sezione lavoro, sentenza 22 settembre 2021, n. 25732, p. 4). La struttura della disposizione contemplava, come è stato osservato, «due livelli di protezione della sfera privata del lavoratore: uno pieno, mediante la previsione del divieto assoluto di uso di impianti audiovisivi e di altre apparecchiature per finalità di controllo a distanza dell’attività dei lavoratori non sorretto da ragioni inerenti all’impresa (ossia, il cd. controllo fine a sé stesso); l’altro affievolito, ove le ragioni del controllo fossero state riconducibili ad esigenze oggettive dell’impresa» (Corte di Cassazione, sezione lavoro, sentenza 22 settembre 2021, n. 25732, p. 4). Il modello normativo del 1970 non conosceva, dunque, la finalità della «tutela del patrimonio aziendale» poi introdotta nel 2015 (Decreto legislativo 14 settembre 2015, n. 151, art. 23, p. 1), così delineando un perimetro più restrittivo rispetto alle versioni successive.</w:t>
      </w:r>
    </w:p>
    <w:p>
      <w:pPr/>
      <w:r>
        <w:rPr/>
        <w:t>Il secondo comma della disposizione originaria configurava il regime autorizzatorio degli impianti astrattamente idonei a produrre un controllo a distanza. La norma stabiliva che «gli impianti e le apparecchiature di controllo che siano richiesti da esigenze organizzative e produttive ovvero dalla sicurezza del lavoro, ma dai quali derivi anche la possibilità di controllo a distanza dell’attività dei lavoratori, possono essere installati soltanto previo accordo con le rappresentanze sindacali aziendali, oppure, in mancanza di queste, con la commissione interna» (Corte di Cassazione, sezione III penale, sentenza 30 gennaio 2014, n. 4331, p. 1). In difetto di accordo, la disposizione affidava all’Ispettorato del lavoro il compito di provvedere «dettando, ove occorra, le modalità per l’uso di tali impianti» (Corte di Cassazione, sezione III penale, sentenza 30 gennaio 2014, n. 4331, p. 1). Le esigenze legittimanti erano dunque tre e tassative – organizzative, produttive e di sicurezza del lavoro – e il controllo era ammesso soltanto quale conseguenza indiretta e potenziale («derivi anche la possibilità») dell’installazione di apparati preordinati a scopi diversi da quello di sorveglianza. La lettura del Garante conferma tale impostazione, laddove precisa che è «vietata l’installazione di apparecchiature specificatamente preordinate» al controllo dell’attività lavorativa e che le riprese non devono verificare «l’osservanza dei doveri di diligenza stabiliti per il rispetto dell’orario di lavoro e la correttezza nell’esecuzione della prestazione lavorativa» (Garante per la protezione dei dati personali, Provvedimento in materia di videosorveglianza, 8 aprile 2010, p. 10).</w:t>
      </w:r>
    </w:p>
    <w:p>
      <w:pPr/>
      <w:r>
        <w:rPr/>
        <w:t>Il divieto va letto in sistematico collegamento con l’art. 8 dello stesso Statuto, che vieta al datore di lavoro «di effettuare indagini, anche a mezzo di terzi, sulle opinioni politiche, religiose o sindacali del lavoratore, nonché su fatti non rilevanti ai fini della valutazione dell’attitudine professionale del lavoratore» (Legge 20 maggio 1970, n. 300). La disciplina degli impianti di controllo e quella delle indagini sulle opinioni costituiscono manifestazioni convergenti di un’unitaria strategia di limitazione del potere conoscitivo del datore di lavoro sulla persona del prestatore. Il nesso emerge anche sul piano sanzionatorio nell’elaborazione del Garante, secondo cui l’utilizzo di sistemi di videosorveglianza «preordinati al controllo a distanza dei lavoratori o ad effettuare indagini sulle loro opinioni» integra fattispecie di reato (Garante per la protezione dei dati personali, Provvedimento in materia di videosorveglianza, 8 aprile 2010, p. 11), così accostando le due garanzie in una medesima cornice di illiceità.</w:t>
      </w:r>
    </w:p>
    <w:p>
      <w:pPr/>
      <w:r>
        <w:rPr/>
        <w:t>Quanto alla ratio, la giurisprudenza di legittimità ha individuato il fondamento della disposizione nell’esigenza di contenere l’uso «di tecnologie che possono rendere la vigilanza stessa continua e anelastica, eliminando ogni zona di riservatezza e di autonomia nello svolgimento del lavoro», precisando che la garanzia procedurale «contempera l’esigenza di tutela del diritto dei lavoratori a non essere controllati a distanza» con quella datoriale relativa all’organizzazione, produzione e sicurezza del lavoro (Corte di Cassazione, sezione lavoro, sentenza 22 settembre 2021, n. 25732, p. 4). La disposizione mirava dunque a preservare uno spazio di dignità e libertà del lavoratore, evitando che l’innovazione tecnologica traducesse la subordinazione in una sorveglianza totale. L’accordo sindacale operava quale filtro di legittimazione collettiva, sottraendo la decisione alla mera volontà unilaterale del datore. La persistenza di tale ratio protettiva è confermata anche nel diritto vivente successivo, ove si riafferma che «in nessun caso può essere giustificato un sostanziale annullamento di ogni forma di garanzia della dignità e riservatezza del lavoratore» (Corte di Cassazione, sezione lavoro, sentenza 22 settembre 2021, n. 25732, p. 8). Le fonti disponibili documentano con precisione il testo originario e la sua logica; esse non consentono, per contro, di ricostruire compiutamente i lavori preparatori del 1970, sicché la ratio qui delineata si fonda essenzialmente sulla successiva lettura giurisprudenziale del testo, che ne costituisce l’interpretazione autorevole ma non l’espressione diretta della volontà storica del legislatore.</w:t>
      </w:r>
    </w:p>
    <w:p>
      <w:pPr>
        <w:pStyle w:val="Heading2"/>
      </w:pPr>
      <w:r>
        <w:rPr/>
        <w:t>La riforma del Jobs Act (d.lgs. n. 151/2015)</w:t>
      </w:r>
    </w:p>
    <w:p>
      <w:pPr/>
      <w:r>
        <w:rPr/>
        <w:t>La riscrittura dell’art. 4 dello Statuto dei lavoratori realizzata dall’art. 23 del d.lgs. 14 settembre 2015, n. 151 – uno dei decreti attuativi della legge delega n. 183/2014 (Jobs Act) – non si configura come una semplice modifica testuale, bensì come una sostituzione integrale della norma, accompagnata dalla nuova rubrica «Impianti audiovisivi e altri strumenti di controllo» (Decreto legislativo 14 settembre 2015, n. 151, art. 23, p. 1). Il dato letterale è inequivoco: «L’articolo 4 della legge 20 maggio 1970, n. 300 è sostituito dal seguente» (Decreto legislativo 14 settembre 2015, n. 151, art. 23, p. 1). Il cambiamento della rubrica – che abbandona ogni riferimento al «divieto» per adottare una denominazione neutra e descrittiva – segnala già sul piano formale il mutamento di paradigma: dal controllo come regola vietata si passa al controllo come attività regolata. La dottrina conferma questa lettura, osservando che «è venuto meno il divieto generale di impiego di impianti per finalità di controllo a distanza, sostituito da una disciplina che consente l’impiego di tali strumenti, in determinate circostanze» (Ghionzoli, 2025, p. 14).</w:t>
      </w:r>
    </w:p>
    <w:p>
      <w:pPr/>
      <w:r>
        <w:rPr/>
        <w:t>Sul piano delle finalità, la riforma amplia il novero delle esigenze legittimanti l’installazione di impianti da cui derivi la possibilità di controllo a distanza. Accanto alle tradizionali esigenze organizzative, produttive e di sicurezza del lavoro, il nuovo comma 1 introduce espressamente la «tutela del patrimonio aziendale» (Decreto legislativo 14 settembre 2015, n. 151, art. 23, p. 1). Tale innovazione ha rilievo sistematico non trascurabile: come rileva la giurisprudenza, il legislatore ha così indicato, tra le esigenze soddisfabili mediante dispositivi potenzialmente fonte di controllo, «per l’appunto quelle di «tutela del patrimonio aziendale»», ponendo il problema se i cosiddetti controlli difensivi «non debbano oramai ritenersi completamente attratti nell’area di operatività dell’art. 4 St. lav.» (Corte di Cassazione, sezione lavoro, sentenza 22 settembre 2021, n. 25732, p. 7). La codificazione della finalità patrimoniale, in altri termini, ridefinisce i confini tra controllo lecito e controllo difensivo elaborato dalla precedente giurisprudenza, questione la cui soluzione resta oggetto della trattazione giurisprudenziale successiva e che le presenti fonti affrontano ma non esauriscono.</w:t>
      </w:r>
    </w:p>
    <w:p>
      <w:pPr/>
      <w:r>
        <w:rPr/>
        <w:t>Il tratto più marcatamente innovativo è tuttavia il regime speciale introdotto dal comma 2, che sottrae al presupposto dell’accordo sindacale «gli strumenti utilizzati dal lavoratore per rendere la prestazione lavorativa e gli strumenti di registrazione degli accessi e delle presenze» (Decreto legislativo 14 settembre 2015, n. 151, art. 23, p. 1). Nasce così la categoria degli «strumenti di lavoro», la cui delimitazione ha generato immediate incertezze applicative. La giurisprudenza mostra come la qualificazione di un dispositivo entro il comma 1 o il comma 2 non sia sempre agevole: se i dati derivanti dalla geolocalizzazione del palmare in dotazione al tecnico trasfertista sono stati ritenuti utilizzabili, quelli acquisiti tramite telepass sono stati dichiarati inutilizzabili per difetto di adeguata informazione (Corte di Cassazione, sezione lavoro, ordinanza 3 giugno 2024, n. 15391, p. 1). Parte della dottrina considera il telepass, se installato su auto aziendali destinate a specifici servizi, «uno strumento direttamente funzionale all’efficienza della singola prestazione», riconducibile al comma 2 (Corte di Cassazione, sezione lavoro, ordinanza 3 giugno 2024, n. 15391, p. 6); ciò dimostra che la categoria degli strumenti di lavoro è definita più dalla funzione concreta che da un elenco tassativo.</w:t>
      </w:r>
    </w:p>
    <w:p>
      <w:pPr/>
      <w:r>
        <w:rPr/>
        <w:t>Il quarto profilo rilevante è il passaggio dal divieto al diritto all’informazione, sancito dal comma 3, secondo cui le informazioni raccolte «sono utilizzabili a tutti i fini connessi al rapporto di lavoro a condizione che sia data al lavoratore adeguata informazione delle modalità d’uso degli strumenti e di effettuazione dei controlli e nel rispetto di quanto disposto dal decreto legislativo 30 giugno 2003, n. 196» (Decreto legislativo 14 settembre 2015, n. 151, art. 23, p. 1). Il baricentro della tutela si sposta dunque dal filtro preventivo collettivo all’informazione preventiva individuale, coordinata con il Codice privacy. La giurisprudenza ha ribadito la centralità di tale requisito, affermando che l’informazione fornita per uno strumento non si estende automaticamente agli altri affidati al lavoratore (Corte di Cassazione, sezione lavoro, ordinanza 3 giugno 2024, n. 15391, p. 4). Il coordinamento con la disciplina protezionistica dei dati risulta poi rafforzato dall’art. 88 GDPR, che fa salve le norme nazionali di maggior tutela quali l’art. 23 del d.lgs. n. 151/2015 (Ghionzoli, 2025, p. 17). Le fonti disponibili documentano puntualmente il testo novellato e la sua immediata interpretazione, ma non consentono di ricostruire in modo esaustivo il dibattito parlamentare che ne accompagnò l’approvazione.</w:t>
      </w:r>
    </w:p>
    <w:p>
      <w:pPr>
        <w:pStyle w:val="Heading2"/>
      </w:pPr>
      <w:r>
        <w:rPr/>
        <w:t>I presupposti di legittimità del controllo e l'accordo sindacale</w:t>
      </w:r>
    </w:p>
    <w:p>
      <w:pPr/>
      <w:r>
        <w:rPr/>
        <w:t>I presupposti di legittimità del controllo a distanza, nella disciplina risultante dal d.lgs. n. 151/2015, si articolano lungo una sequenza procedurale che il testo dell’art. 4, comma 1, dello Statuto configura come inderogabile per gli strumenti dai quali «derivi anche la possibilità di controllo a distanza dell’attività dei lavoratori». La norma subordina l’impiego di tali strumenti a un duplice ordine di condizioni: una finalistica e una procedurale. Sul piano finalistico, l’installazione è ammessa «esclusivamente per esigenze organizzative e produttive, per la sicurezza del lavoro e per la tutela del patrimonio aziendale» (Legge 20 maggio 1970, n. 300, p. 1). Su quello procedurale, essa presuppone l’attivazione di uno dei canali di legittimazione tipizzati dal legislatore. L’analisi che segue muove dalla tesi che tali due ordini di requisiti sono cumulativi e non alternativi: la sussistenza di una finalità legittima non esime dall’osservanza della procedura, e questa non sana il difetto di una causale tipica.</w:t>
      </w:r>
    </w:p>
    <w:p>
      <w:pPr/>
      <w:r>
        <w:rPr/>
        <w:t>Il primo canale di legittimazione è l’accordo con la rappresentanza sindacale. La disposizione prevede che gli strumenti «possono essere installati previo accordo collettivo stipulato dalla rappresentanza sindacale unitaria o dalle rappresentanze sindacali aziendali» e, per le imprese con unità produttive dislocate in più province o regioni, dalle «associazioni sindacali comparativamente più rappresentative sul piano nazionale» (Legge 20 maggio 1970, n. 300, p. 1). L’accordo assolve qui una funzione di legittimazione collettiva della scelta datoriale, sottraendola alla mera unilateralità: la sequenza «previo accordo» qualifica la contrattazione come condizione sospensiva dell’installazione, non come adempimento successivo. Questa struttura è confermata dalla lettura secondo cui l’installazione «deve avvenire previo accordo collettivo con le rappresentanze sindacali unitarie o aziendali o con l’autorizzazione dell’ispettorato del lavoro, costituendo una condizione senza l’osservanza della quale non è possibile l’installazione» (Ghionzoli, 2025, p. 17). Rispetto alla formulazione originaria, che contemplava le rappresentanze sindacali aziendali «oppure, in mancanza di queste, con la commissione interna» (Corte di Cassazione, sezione lavoro, sentenza 22 settembre 2021, n. 25732, p. 4), la novella ha ridefinito i soggetti legittimati, senza tuttavia alterare la natura preventiva del requisito.</w:t>
      </w:r>
    </w:p>
    <w:p>
      <w:pPr/>
      <w:r>
        <w:rPr/>
        <w:t>Il secondo canale opera in via sussidiaria: «in mancanza di accordo, gli impianti e gli strumenti (…) possono essere installati previa autorizzazione delle sede territoriale dell’Ispettorato nazionale del lavoro» o, per le imprese con unità produttive dislocate negli ambiti di competenza di più sedi, della sede centrale, con provvedimenti «definitivi» (Legge 20 maggio 1970, n. 300, p. 1). La sequenza dei rinvii normativi documenta un’evoluzione istituzionale dell’organo competente: dalla Direzione territoriale del lavoro prevista dal d.lgs. n. 151/2015 (Decreto legislativo 14 settembre 2015, n. 151, art. 23, p. 1) all’Ispettorato nazionale del lavoro introdotto dal d.lgs. n. 185/2016, art. 5, comma 2 (Corte di Cassazione, sezione lavoro, sentenza 22 settembre 2021, n. 25732, p. 7). La subordinazione dell’autorizzazione amministrativa al previo insuccesso della via negoziale conferma la preferenza del legislatore per la legittimazione collettiva, cui quella pubblicistica si affianca in funzione di chiusura del sistema.</w:t>
      </w:r>
    </w:p>
    <w:p>
      <w:pPr/>
      <w:r>
        <w:rPr/>
        <w:t>La terza condizione attiene alle garanzie procedurali e all’informazione al lavoratore. Il comma 3 subordina l’utilizzabilità delle informazioni «a tutti i fini connessi al rapporto di lavoro» alla circostanza «che sia data al lavoratore adeguata informazione delle modalità d’uso degli strumenti e di effettuazione dei controlli e nel rispetto di quanto disposto dal D.Lgs. 30 giugno 2003, n. 196» (Corte di Cassazione, sezione lavoro, sentenza 22 settembre 2021, n. 25732, p. 7). Questo requisito opera su un piano distinto rispetto ai primi due: non condiziona l’installazione, ma l’utilizzabilità probatoria e disciplinare dei dati. La giurisprudenza ne ha tratto la conseguenza che, «in difetto di autorizzazione e/o di adeguata informazione delle modalità d’uso degli strumenti e di effettuazione dei controlli, nonché senza il rispetto della normativa sulla privacy», il datore non può utilizzare i dati acquisiti (Corte di Cassazione, sezione lavoro, sentenza 22 settembre 2021, n. 25732, p. 9). L’informazione preventiva individuale integra così i presupposti procedurali collettivi, rendendo il sistema articolato su livelli di garanzia autonomi e concorrenti.</w:t>
      </w:r>
    </w:p>
    <w:p>
      <w:pPr/>
      <w:r>
        <w:rPr/>
        <w:t>Tale pluralità di livelli è coronata dal rinvio dell’art. 114 del Codice privacy all’art. 4 dello Statuto. La disposizione, nel suo testo vigente, stabilisce che «resta fermo quanto disposto dall’articolo 4 della legge 20 maggio 1970, n. 300» (Decreto legislativo 30 giugno 2003, n. 196, p. 1). Il rinvio non è meramente ricognitivo: esso incorpora l’osservanza dei presupposti statutari tra le condizioni di liceità del trattamento dei dati raccolti mediante strumenti di controllo a distanza. Ne discende una struttura a livelli integrati, «costituiti in primis dal Codice della Privacy nonché dall’art. 4 della L. 300/1970 a cui l’art. 88 rinvia, in combinato disposto con gli artt. 5 e 6 GDPR» (Ghionzoli, 2025, p. 18). La violazione delle garanzie procedurali statutarie si riverbera dunque sulla liceità del trattamento, saldando la disciplina lavoristica e quella di protezione dei dati in un unico regime di legittimità.</w:t>
      </w:r>
    </w:p>
    <w:p>
      <w:pPr/>
      <w:r>
        <w:rPr/>
        <w:t>Le fonti disponibili documentano con precisione il testo normativo e la sua interpretazione giurisprudenziale sui presupposti procedurali; esse non consentono, per contro, di ricostruire compiutamente la prassi applicativa dell’Ispettorato nazionale del lavoro né i contenuti tipici degli accordi sindacali stipulati ai sensi del comma 1, sicché l’analisi del funzionamento concreto dei due canali di legittimazione resta circoscritta al dato testuale e alle sue letture dottrinali e giurisprudenziali.</w:t>
      </w:r>
    </w:p>
    <w:p>
      <w:pPr>
        <w:pStyle w:val="Heading2"/>
      </w:pPr>
      <w:r>
        <w:rPr/>
        <w:t>I principi generali del trattamento dei dati personali</w:t>
      </w:r>
    </w:p>
    <w:p>
      <w:pPr/>
      <w:r>
        <w:rPr/>
        <w:t>L’art. 5 del GDPR codifica i principi cardine che governano ogni trattamento di dati personali e che, nel rapporto di lavoro, operano quali criteri di validazione sostanziale dell’operato datoriale. La disposizione stabilisce anzitutto che i dati personali siano «trattati in modo lecito, corretto e trasparente nei confronti dell’interessato» (Regolamento, p. 5). Tale triade non esaurisce la propria portata sul piano formale: la liceità, in particolare, assume nel contesto lavorativo una configurazione peculiare, poiché il trattamento «è lecito solo se conforme alle discipline di settore applicabili» (Ghionzoli, 2025, p. 16). Ne discende che i requisiti di liceità coincidono con quelli «stabiliti dall’art. 4 L. 20 maggio 1970, n. 300, richiamato dagli artt. 113 e 114 del Codice Privacy» (Ghionzoli, 2025, p. 16), con la conseguenza che il rispetto delle garanzie statutarie diviene condizione interna della liceità ai sensi dell’art. 5. La correttezza e la trasparenza si traducono, sul versante operativo, nell’obbligo di informazione preventiva: il trattamento «deve essere accompagnato da un adeguato livello di correttezza e trasparenza nei confronti dei dipendenti, che devono essere stati adeguatamente informati» (Ghionzoli, 2025, p. 17), secondo un modello articolato che, per la videosorveglianza, impone un’informativa di primo e di secondo livello contenente «tutti gli altri elementi indicati nell’art. 13 del Regolamento» (Ghionzoli, 2025, p. 17).</w:t>
      </w:r>
    </w:p>
    <w:p>
      <w:pPr/>
      <w:r>
        <w:rPr/>
        <w:t>Il principio di limitazione delle finalità richiede che i dati siano «raccolti per finalità determinate, esplicite e legittime, e successivamente trattati in modo che non sia incompatibile con tali finalità» (Regolamento, p. 5). La valutazione di compatibilità di un ulteriore trattamento non è rimessa all’arbitrio del titolare, ma ancorata a criteri predeterminati, tra cui «il contesto in cui i dati personali sono stati raccolti, in particolare relativamente alla relazione tra l’interessato e il titolare del trattamento» (Regolamento, p. 8). Nel rapporto di lavoro tale relazione è strutturalmente asimmetrica, sicché il vincolo di finalità opera come argine all’espansione dei controlli oltre lo scopo dichiarato. Coerentemente, l’art. 4, comma 3, dello Statuto «introduce ulteriori profili di illiceità in caso di ulteriore utilizzo dei dati personali raccolti» (Ghionzoli, 2025, p. 16), saldandosi con la logica di limitazione finalistica del Regolamento.</w:t>
      </w:r>
    </w:p>
    <w:p>
      <w:pPr/>
      <w:r>
        <w:rPr/>
        <w:t>Il principio di minimizzazione trova nel contesto lavorativo una declinazione particolarmente incisiva attraverso il principio di necessità. Già prima del GDPR il Garante prescriveva che «i sistemi informativi e i programmi informatici devono essere configurati riducendo al minimo l’utilizzazione di dati personali e di dati identificativi» (Garante per la protezione dei dati personali, Lavoro: le linee guida del Garante per posta elettronica e internet, delib, p. 2), imponendo al datore di «promuovere ogni opportuna misura, organizzativa e tecnologica volta a prevenire il rischio di utilizzi impropri (da preferire rispetto all’adozione di misure «repressive»)» e comunque a ««minimizzare» l’uso di dati riferibili ai lavoratori» (Garante per la protezione dei dati personali, Lavoro: le linee guida del Garante per posta elettronica e internet, delib, p. 5). Questa impostazione anticipa il paradigma della protezione dei dati fin dalla progettazione, oggi codificato dall’art. 25 GDPR, ove il titolare, «sia al momento di determinare i mezzi del trattamento sia all’atto del trattamento stesso», è tenuto a mettere in atto misure tecniche e organizzative «quali la pseudonimizzazione, volte ad attuare in modo efficace i principi di protezione dei dati, quali la minimizzazione» (Regolamento, p. 14). La configurazione tecnica dei sistemi informativi diviene così essa stessa oggetto di un obbligo giuridico: la minimizzazione non è un mero criterio interpretativo, ma un vincolo di architettura, come conferma la prassi del Garante che «raccomanda l’uso di sistemi che sono preimpostati e consentono l’anonimizzazione» (Ghionzoli, 2025, p. 28).</w:t>
      </w:r>
    </w:p>
    <w:p>
      <w:pPr/>
      <w:r>
        <w:rPr/>
        <w:t>L’applicazione dei principi dell’art. 5 al rapporto di lavoro evidenzia dunque una convergenza funzionale tra la disciplina protezionistica e le garanzie statutarie: entrambe muovono dall’esigenza di contenere l’ingerenza tecnologica entro limiti di necessità e proporzionalità. Il GDPR, in questa prospettiva, «introduce regole specifiche per disciplinare il trattamento dei dati personali, con l’onere della prova a carico del datore di lavoro in merito al rispetto delle stesse» (Ghionzoli, 2025, p. 20), spostando sul titolare la dimostrazione della conformità ai principi enunciati e rafforzando, così, il sistema delle tutele. Le fonti disponibili documentano con precisione il contenuto normativo dei singoli principi e la loro interpretazione da parte del Garante e della dottrina; esse non consentono, per contro, di quantificare in termini empirici il grado di effettiva applicazione dei principi di minimizzazione e necessità nelle concrete configurazioni dei sistemi informativi aziendali, sicché l’analisi resta circoscritta al dato normativo e alle indicazioni di prassi.</w:t>
      </w:r>
    </w:p>
    <w:p>
      <w:pPr>
        <w:pStyle w:val="Heading2"/>
      </w:pPr>
      <w:r>
        <w:rPr/>
        <w:t>Le basi giuridiche del trattamento nel contesto lavorativo</w:t>
      </w:r>
    </w:p>
    <w:p>
      <w:pPr/>
      <w:r>
        <w:rPr/>
        <w:t>L’individuazione della base giuridica costituisce lo snodo logicamente preliminare di ogni trattamento di dati dei dipendenti, poiché condiziona a monte la stessa liceità dell’operazione. L’art. 6 GDPR stabilisce che «il trattamento è lecito solo se e nella misura in cui ricorre almeno una delle seguenti condizioni», elencando fra queste il consenso dell’interessato «al trattamento dei propri dati personali per una o più specifiche finalità» e la necessità del trattamento «all’esecuzione di un contratto di cui l’interessato è parte» (Regolamento, p. 6). Nel contesto lavorativo, tuttavia, la mera enumerazione delle basi non ne assicura l’effettiva praticabilità, giacché la peculiare relazione fra le parti incide sulla concreta idoneità di ciascuna condizione a legittimare il trattamento.</w:t>
      </w:r>
    </w:p>
    <w:p>
      <w:pPr/>
      <w:r>
        <w:rPr/>
        <w:t>Il consenso, in particolare, si rivela una base strutturalmente problematica. La dottrina riconduce infatti le vulnerabilità del lavoratore «alle relazioni tra le parti caratterizzate da asimmetria di potere, in cui il consenso è in nuce viziato e non «genuino», in quanto non libero» (Ghionzoli, 2025, p. 28). L’asimmetria di potere fra datore e prestatore mina alla radice il requisito di libertà che l’art. 6, par. 1, lett. a) esige, sicché il consenso non può costituire, di regola, un fondamento affidabile del trattamento. Ne consegue la necessità di «fare riferimento ad altre basi in grado di legittimare» l’operazione (Ghionzoli, 2025, p. 28), spostando il baricentro verso le condizioni che prescindono dalla volontà dell’interessato.</w:t>
      </w:r>
    </w:p>
    <w:p>
      <w:pPr/>
      <w:r>
        <w:rPr/>
        <w:t>Fra queste, l’esecuzione del contratto e il legittimo interesse assumono rilievo preminente. La necessità del trattamento rispetto all’esecuzione contrattuale opera quando il dato sia funzionale alla gestione del rapporto, ma non può estendersi oltre tale perimetro: la giurisprudenza ha così ritenuto inconferente l’argomento secondo cui i dati di uno strumento assegnato al dipendente sarebbero trattabili senza consenso in forza del contratto, quando in realtà essi afferiscono agli spostamenti del lavoratore e non allo strumento in sé (Corte di Cassazione, sezione lavoro, ordinanza 3 giugno 2024, n. 15391, p. 5). Il legittimo interesse, a sua volta, richiede un bilanciamento fra gli interessi economico-organizzativi datoriali e il diritto alla riservatezza del lavoratore, in un equilibrio che il Garante ha ancorato alle garanzie statutarie sul controllo indiretto (Garante per la protezione dei dati personali, Lavoro: le linee guida del Garante per posta elettronica e internet, delib, p. 9).</w:t>
      </w:r>
    </w:p>
    <w:p>
      <w:pPr/>
      <w:r>
        <w:rPr/>
        <w:t>Il quadro delle basi di liceità non è, peraltro, esaurito dal solo art. 6. L’art. 88 GDPR abilita gli Stati membri a prevedere «con legge o tramite contratti collettivi, norme più specifiche per assicurare la protezione dei diritti e delle libertà con riguardo al trattamento dei dati personali dei dipendenti nell’ambito dei rapporti di lavoro», anche per finalità di esecuzione del contratto e di protezione della proprietà del datore (Regolamento, p. 17). Tale norma opera dunque come cerniera fra il regime generale del Regolamento e le discipline nazionali di settore, valorizzando quelle fonti – legislative e collettive – che introducono uno standard di tutela più elevato. In questa prospettiva, l’accountability introdotta dal GDPR declina l’effettività «in termini di responsabilità, prevenzione e deterrenza» (Giacalone, 2025), addossando al titolare l’onere di dimostrare la corretta selezione e applicazione della base giuridica prescelta.</w:t>
      </w:r>
    </w:p>
    <w:p>
      <w:pPr/>
      <w:r>
        <w:rPr/>
        <w:t>Le fonti disponibili documentano con precisione il testo normativo delle basi di liceità e la loro elaborazione dottrinale e giurisprudenziale; esse non consentono, per contro, di quantificare la frequenza con cui, nella prassi aziendale, il legittimo interesse e l’esecuzione del contratto vengano concretamente preferiti al consenso, sicché l’analisi resta circoscritta al dato normativo e alle sue letture interpretative.</w:t>
      </w:r>
    </w:p>
    <w:p>
      <w:pPr>
        <w:pStyle w:val="Heading2"/>
      </w:pPr>
      <w:r>
        <w:rPr/>
        <w:t>Il ruolo del datore di lavoro come titolare del trattamento</w:t>
      </w:r>
    </w:p>
    <w:p>
      <w:pPr/>
      <w:r>
        <w:rPr/>
        <w:t>Il datore di lavoro, quando raccoglie e utilizza informazioni riferibili ai propri dipendenti mediante strumenti tecnologici, assume la qualificazione di titolare del trattamento ai sensi del Regolamento (UE) 2016/679, poiché determina le finalità e i mezzi delle operazioni sui dati. Tale qualificazione non è meramente descrittiva, ma comporta l’imputazione di un fascio di obblighi la cui violazione lo espone a responsabilità. Nella prassi applicativa lo stesso Garante ha riconosciuto che «il datore di lavoro (titolare del trattamento)» può giungere, attraverso i controlli, «fino alla conoscenza […] del contenuto della corrispondenza» dei lavoratori (Garante per la protezione dei dati personali, Lavoro: le linee guida del Garante per posta elettronica e internet, delib, p. 2), sicché la sua posizione di titolarità coincide con la titolarità del potere organizzativo e di sorveglianza. La disciplina distingue peraltro tale figura da quella del responsabile del trattamento, che il datore «può ritenere utile […] designare (facoltativa), specie in strutture articolate, […] cui impartire precise istruzioni sul tipo di controlli ammessi e sulle relative modalità» (Garante per la protezione dei dati personali, Lavoro: le linee guida del Garante per posta elettronica e internet, delib, p. 9). Ne discende un’architettura soggettiva in cui la responsabilità decisionale resta ancorata al titolare, mentre l’esecuzione può essere articolata su soggetti preposti.</w:t>
      </w:r>
    </w:p>
    <w:p>
      <w:pPr/>
      <w:r>
        <w:rPr/>
        <w:t>Il tratto qualificante del modello introdotto dal Regolamento è il principio di accountability, che declina l’effettività della tutela «in termini di responsabilità, prevenzione e deterrenza» (Giacalone, 2025), configurando un approccio «proattivo e preventivo» (Giacalone, 2025) anziché meramente reattivo. Il baricentro si sposta così dall’osservanza formale di prescrizioni alla dimostrazione, a carico del titolare, di aver adottato misure adeguate. Tale onere probatorio grava sul datore già nella fase antecedente al trattamento: egli è tenuto, «già prima dell’inizio del trattamento, a seguire i principi di responsabilità e conformità, di privacy by design, ricorrendo alla consultazione preventiva e alla contrattazione ovvero […] ad agire in modo proattivo per garantire i diritti degli interessati» (Ghionzoli, 2025, p. 37). La responsabilità assume dunque una dimensione procedurale e anticipatoria, incentrata sull’allocazione del rischio e sull’assolvimento dell’onere della prova «quanto al rispetto delle misure tecniche e organizzative» (Ghionzoli, 2025, p. 23).</w:t>
      </w:r>
    </w:p>
    <w:p>
      <w:pPr/>
      <w:r>
        <w:rPr/>
        <w:t>A questa dimensione preventiva si affiancano specifici obblighi di trasparenza e presidi a salvaguardia della dignità del lavoratore. L’art. 88 del Regolamento consente agli Stati membri norme più specifiche, le quali devono includere «misure appropriate e specifiche a salvaguardia della dignità umana, degli interessi legittimi e dei diritti fondamentali degli interessati, in particolare per quanto riguarda la trasparenza del trattamento […] e i sistemi di monitoraggio sul posto di lavoro» (Regolamento, p. 17). La trasparenza non è quindi un adempimento accessorio, ma componente strutturale della liceità del monitoraggio, coerente con il canone per cui il trattamento «deve essere ispirato ad un canone di trasparenza» (Garante per la protezione dei dati personali, Lavoro: le linee guida del Garante per posta elettronica e internet, delib, p. 3) e condotto «nella misura meno invasiva possibile» (Garante per la protezione dei dati personali, Lavoro: le linee guida del Garante per posta elettronica e internet, delib, p. 3).</w:t>
      </w:r>
    </w:p>
    <w:p>
      <w:pPr/>
      <w:r>
        <w:rPr/>
        <w:t>Il modello di responsabilità che ne risulta è severo. La posizione del titolare, «in caso di danno materiale o immateriale per violazione e/o non esatto adempimento degli obblighi del Regolamento», è «passibile di sanzioni onerose» che sembrano introdurre «un regime di responsabilità per danni […] anche a titolo di colpa o di dolo […] con riferimento sia al trattamento illecito dei dati, ma anche e soprattutto alla omessa adozione di comportamenti proattivi» (Ghionzoli, 2025, p. 21). Tale responsabilità si cumula con quella civilistica ex art. 2087 c.c. verso i lavoratori (Ghionzoli, 2025, p. 37), disegnando una convergenza fra tutela della persona e protezione dei dati.</w:t>
      </w:r>
    </w:p>
    <w:p>
      <w:pPr/>
      <w:r>
        <w:rPr/>
        <w:t>Le fonti disponibili documentano con precisione la qualificazione soggettiva del titolare, il fondamento normativo dell’accountability e gli obblighi di trasparenza; esse non consentono, per contro, di ricostruire in termini quantitativi l’effettiva adozione, nella prassi aziendale, delle misure proattive richieste, sicché l’analisi resta circoscritta al dato normativo e alle sue letture di prassi e dottrinali.</w:t>
      </w:r>
    </w:p>
    <w:p>
      <w:pPr>
        <w:pStyle w:val="Heading2"/>
      </w:pPr>
      <w:r>
        <w:rPr/>
        <w:t>Il coordinamento tra GDPR e normativa nazionale (d.lgs. 196/2003)</w:t>
      </w:r>
    </w:p>
    <w:p>
      <w:pPr/>
      <w:r>
        <w:rPr/>
        <w:t>Il coordinamento tra il Regolamento generale e la disciplina interna non si risolve in un rapporto di gerarchia sostitutiva, bensì in una articolazione che riconosce agli ordinamenti nazionali uno spazio normativo autonomo. La chiave di volta di tale architettura è l’art. 88 GDPR, che, lungi dal comprimere le tutele preesistenti, «ha fatto salve le norme nazionali di maggior tutela (le norme specifiche) volte a garantire la tutela dei diritti e delle libertà in materia di trattamento dei dati personali dei lavoratori, come l’art. 23 del D.lgs. n. 151/2015 (già art. 4 della legge n. 300 del 1970)» (Ghionzoli, 2025, p. 17). Il rinvio opera dunque in senso conservativo e migliorativo: la disciplina lavoristica interna non è travolta dal Regolamento ma da esso legittimata quale fonte di garanzia rafforzata, con l’ulteriore possibilità di demandare ai contratti collettivi la disciplina più specifica e più tutelante per i lavoratori (Ghionzoli, 2025, p. 17).</w:t>
      </w:r>
    </w:p>
    <w:p>
      <w:pPr/>
      <w:r>
        <w:rPr/>
        <w:t>Su questa premessa si innesta la funzione di raccordo svolta dagli artt. 113 e 114 del Codice privacy. La formulazione dell’art. 114 è lapidaria ma decisiva: «Resta fermo quanto disposto dall’articolo 4 della legge 20 maggio 1970, n. 300» (Decreto legislativo 30 giugno 2003, n. 196, p. 1). Il legislatore interno incorpora così i presupposti statutari del controllo a distanza tra le condizioni di liceità del trattamento, sicché «l’art. 114 del D.lgs n. 196/2003 , tra le condizioni di liceità del trattamento, ha stabilito il rispetto di quanto previsto dall’art. 4 della Legge n. 300 del 1970» (Ghionzoli, 2025, p. 17). Analogamente l’art. 113 rinvia all’art. 8 dello Statuto in materia di raccolta di dati e pertinenza (Decreto legislativo 14 settembre 2015, n. 151, art. 23, p. 1). La prassi del Garante ha del resto qualificato tali disposizioni come «discipline di settore» fatte salve dal Codice, precisando che «la disciplina di protezione dei dati va coordinata con regole di settore riguardanti il rapporto di lavoro» (Garante per la protezione dei dati personali, Lavoro: le linee guida del Garante per posta elettronica e internet, delib, p. 2). Il coordinamento non è dunque meramente enunciativo, ma si traduce in una regola di integrazione operativa fra i due corpi normativi.</w:t>
      </w:r>
    </w:p>
    <w:p>
      <w:pPr/>
      <w:r>
        <w:rPr/>
        <w:t>L’adeguamento realizzato con il d.lgs. n. 101/2018 non ha alterato questo assetto di richiami, ma lo ha allineato al Regolamento sopravvenuto, mantenendo ferma la clausola di salvaguardia dell’art. 114 e valorizzando lo spazio riconosciuto dall’art. 88. Ne risulta un sistema a livelli integrati, «costituiti in primis dal Codice della Privacy nonché dall’art. 4 della L. 300/1970 a cui l’art. 88 rinvia, in combinato disposto con gli artt. 5 e 6 GDPR» (Ghionzoli, 2025, p. 18). La complementarità tra i due sistemi si manifesta con particolare evidenza nella dimensione collettiva: l’art. 88, 2° comma, «costituisce una norma garantista, che rafforza l’art. 23, 3° co), del D.lgs 151/2015 (già art. 4 dello Statuto), basato sul mero diritto all’informazione dei lavoratori e può aprire ulteriori e interessanti opportunità di tutela e generare strumenti negoziali» (Ghionzoli, 2025, p. 18). In questa prospettiva la dottrina ha ipotizzato che l’integrazione fra art. 4 dello Statuto e disciplina protezionistica possa fondare un ruolo rinnovato delle rappresentanze sindacali, sino a prospettare l’istituzione di un rappresentante sindacale per la protezione dei dati (Ingrao, 2024). Emerge così una relazione di reciproco rafforzamento: la disciplina di protezione dei dati fornisce i principi e l’apparato di accountability, mentre la normativa lavoristica interna offre i presupposti procedurali e il canale collettivo di legittimazione.</w:t>
      </w:r>
    </w:p>
    <w:p>
      <w:pPr/>
      <w:r>
        <w:rPr/>
        <w:t>Le fonti disponibili documentano con precisione il tenore dei rinvii normativi, il meccanismo dell’art. 88 e la lettura di prassi del Garante sul coordinamento tra i due sistemi; esse non consentono, per contro, di ricostruire in modo analitico l’iter dell’adeguamento operato dal d.lgs. n. 101/2018 nelle sue singole disposizioni di raccordo, sicché la ricostruzione della complementarità resta ancorata al dato testuale degli articoli richiamati e alle loro letture dottrinali e di prassi.</w:t>
      </w:r>
    </w:p>
    <w:p>
      <w:pPr>
        <w:pStyle w:val="Heading2"/>
      </w:pPr>
      <w:r>
        <w:rPr/>
        <w:t>Gli strumenti di lavoro e gli strumenti di controllo</w:t>
      </w:r>
    </w:p>
    <w:p>
      <w:pPr/>
      <w:r>
        <w:rPr/>
        <w:t>La categoria degli «strumenti utilizzati dal lavoratore per rendere la prestazione lavorativa» introdotta dal comma 2 dell’art. 4 novellato costituisce il fulcro del nuovo assetto: essa sottrae tali strumenti – al pari di quelli di registrazione degli accessi e delle presenze – al regime autorizzatorio del comma 1 (Decreto legislativo 14 settembre 2015, n. 151, art. 23, p. 1). La ratio della deroga risiede nella funzionalità dello strumento alla prestazione, ma proprio tale criterio funzionale si rivela poroso. La dottrina, secondo la ricostruzione disponibile, registra sul punto orientamenti divergenti: un primo indirizzo riconduce alla nozione i dispositivi assegnati «per esigenze organizzative e direttamente utilizzati» dal lavoratore non solo per svolgere ma anche «per efficientare» la prestazione, escludendo per contro il software che abbia «esclusive finalità di controllo»; un secondo indirizzo osserva invece che il software «consente il funzionamento dei dispositivi e la conservazione massiva dei dati» (Ghionzoli, 2025, p. 14). La contrapposizione non è meramente teorica: essa determina l’ampiezza della zona franca dal controllo sindacale e amministrativo.</w:t>
      </w:r>
    </w:p>
    <w:p>
      <w:pPr/>
      <w:r>
        <w:rPr/>
        <w:t>Il discrimine si coglie con particolare evidenza a proposito della posta elettronica e della navigazione in Internet aziendali. Fin dalle linee guida del 2007 il Garante muoveva dal presupposto che spetti al datore «assicurare la funzionalità e il corretto impiego di tali mezzi» (Garante per la protezione dei dati personali, Lavoro: le linee guida del Garante per posta elettronica e internet, delib, p. 1), prescrivendo però l’onere di specificare «se, in che misura e con quali modalità vengano effettuati controlli» (Garante per la protezione dei dati personali, Lavoro: le linee guida del Garante per posta elettronica e internet, delib, p. 9) e raccomandando l’adozione di un disciplinare interno unitamente a misure organizzative e tecnologiche (Garante per la protezione dei dati personali, Lavoro: le linee guida del Garante per posta elettronica e internet, delib, p. 10). L’Autorità escludeva altresì l’ammissibilità di «controlli prolungati, costanti o indiscriminati» (Garante per la protezione dei dati personali, Lavoro: le linee guida del Garante per posta elettronica e internet, delib, p. 8), così tracciando il confine oltre il quale lo strumento di lavoro trasmoda in strumento di controllo.</w:t>
      </w:r>
    </w:p>
    <w:p>
      <w:pPr/>
      <w:r>
        <w:rPr/>
        <w:t>È proprio il fattore temporale a segnare il passaggio dall’una all’altra categoria. Le linee guida imponevano già di configurare i sistemi in modo da «cancellare periodicamente ed automaticamente» i dati di traffico non necessari, ammettendo un prolungamento della conservazione solo come «eccezionale» e ancorato a una finalità «specifica e comprovata e limitata al tempo necessario – e predeterminato» (Garante per la protezione dei dati personali, Lavoro: le linee guida del Garante per posta elettronica e internet, delib, p. 8). Questa impostazione trova conferma e precisazione quantitativa in un recente provvedimento dell’Autorità, che ha risolto un caso analogo «sulla base del criterio del tempo di conservazione dei log di posta elettronica, che non può superare i 21 giorni» (Ghionzoli, 2025, p. 16). La ratio è netta: oltre tale soglia i log «potrebbero comportare un controllo indiretto a distanza dei lavoratori e quindi essere inquadrati ai sensi del 1° co) dell’art. 4 dello Statuto», in quanto idonei a raccogliere anche «informazioni attinenti alla sfera personale o alle opinioni dell’interessato» (Ghionzoli, 2025, p. 16). Il tempo di conservazione opera così come indice qualificatorio: la prolungata e continua raccolta trasforma il mero rilevatore in strumento di controllo, riassoggettandolo all’accordo con i rappresentanti dei lavoratori (Ghionzoli, 2025, p. 16).</w:t>
      </w:r>
    </w:p>
    <w:p>
      <w:pPr/>
      <w:r>
        <w:rPr/>
        <w:t>Ne discende una lettura coordinata con i principi del Regolamento: il trattamento resta lecito solo se «conforme alle discipline di settore applicabili» (Ghionzoli, 2025, p. 16), sicché il superamento dei limiti temporali fissati in via di prassi ridonda in illiceità ai sensi dell’art. 5, comma 1, lett. a), GDPR. La distinzione tra strumento di lavoro e strumento di controllo non si risolve dunque in una qualificazione statica del dispositivo, ma in una valutazione dinamica delle modalità e della durata del trattamento dei dati che esso genera.</w:t>
      </w:r>
    </w:p>
    <w:p>
      <w:pPr/>
      <w:r>
        <w:rPr/>
        <w:t>Le fonti disponibili documentano con precisione il criterio dei ventuno giorni e le prescrizioni delle linee guida del 2007; esse non consentono, per contro, di verificare la coerenza applicativa di tale soglia nei diversi settori produttivi né di stabilire in quale misura i disciplinari interni aziendali recepiscano effettivamente le indicazioni del Garante, sicché l’analisi resta circoscritta al dato normativo e di prassi.</w:t>
      </w:r>
    </w:p>
    <w:p>
      <w:pPr>
        <w:pStyle w:val="Heading2"/>
      </w:pPr>
      <w:r>
        <w:rPr/>
        <w:t>I controlli difensivi del datore di lavoro</w:t>
      </w:r>
    </w:p>
    <w:p>
      <w:pPr/>
      <w:r>
        <w:rPr/>
        <w:t>I controlli difensivi rappresentano una categoria di elaborazione pretoria, funzionale a definire un’area di controllo datoriale sottratta al perimetro applicativo dell’art. 4 dello Statuto. La giurisprudenza li definisce come «i controlli diretti ad comportamenti estranei al rapporto di lavoro illeciti o lesivi del […] patrimonio e dell’immagine aziendale e dunque non volti ad accertare l’inadempimento delle ordinarie obbligazioni contrattuali» (Corte di Cassazione, sezione lavoro, ordinanza 3 giugno 2024, n. 15391, p. 4). La ragione della categoria risiede dunque in una distinzione teleologica: solo la tutela di beni estranei al sinallagma contrattuale giustifica la fuoriuscita dalle garanzie statutarie, mentre la verifica dell’adempimento della prestazione resta integralmente attratta nell’art. 4. Tale confine, tuttavia, si rivela problematico, poiché la lesione del patrimonio aziendale può presentarsi come conseguenza mediata dell’inadempimento contrattuale, come mostra il caso in cui il controllo satellitare GPS, pur presentato come difensivo, è stato ricondotto alla mera verifica dell’ordinaria prestazione, «non la tutela di beni estranei al rapporto di lavoro» (Corte di Cassazione, sezione lavoro, sentenza 5 ottobre 2016, n. 19922, p. 2).</w:t>
      </w:r>
    </w:p>
    <w:p>
      <w:pPr/>
      <w:r>
        <w:rPr/>
        <w:t>La legittimità dei controlli difensivi in senso stretto presuppone il requisito del fondato sospetto. La Cassazione afferma che sono consentiti, anche dopo la novella del 2015, i controlli tecnologici finalizzati alla tutela di beni estranei al rapporto «in presenza di un fondato sospetto circa la commissione di un illecito, purché sia assicurato un corretto bilanciamento» tra le esigenze aziendali e «le imprescindibili tutele della dignità e della riservatezza del lavoratore» (Corte di Cassazione, sezione lavoro, sentenza 22 settembre 2021, n. 25732, p. 10); (Corte di Cassazione, sezione lavoro, ordinanza 3 giugno 2024, n. 15391, p. 4). Il fondato sospetto opera così come presupposto abilitante e, al contempo, come limite: solo la sua sussistenza consente l’azione datoriale «fuori del perimetro di applicazione diretta dell’art. 4 st. lav.», gravando il datore dell’onere «di allegare, prima, e di provare, poi, le specifiche circostanze che l’hanno indotto ad attivare il controllo tecnologico ex post» (Corte di Cassazione, sezione lavoro, ordinanza 3 giugno 2024, n. 15391, p. 4). Nel caso deciso da (Corte di Cassazione, sezione lavoro, sentenza 5 ottobre 2016, n. 19922), l’assenza di segnalazioni di comportamenti illegittimi ha escluso la ricorrenza del presupposto (Corte di Cassazione, sezione lavoro, sentenza 5 ottobre 2016, n. 19922, p. 1).</w:t>
      </w:r>
    </w:p>
    <w:p>
      <w:pPr/>
      <w:r>
        <w:rPr/>
        <w:t>Decisivo è, inoltre, il criterio temporale: il controllo difensivo in senso stretto è legittimo «sempre che il controllo riguardi dati acquisiti successivamente all’insorgere del sospetto» (Corte di Cassazione, sezione lavoro, ordinanza 3 giugno 2024, n. 15391, p. 4). La distinzione tra controlli difensivi in senso lato – attratti nell’art. 4 in quanto potenzialmente incidenti sull’attività lavorativa – e in senso stretto (Corte di Cassazione, sezione lavoro, sentenza 22 settembre 2021, n. 25732, p. 7) si salda con la delimitazione dei dati utilizzabili: potrà parlarsi di controllo ex post «solo in relazione a quelli raccolti dopo l’insorgenza del sospetto […], non in relazione a quelli già registrati» (Corte di Cassazione, sezione lavoro, sentenza 22 settembre 2021, n. 25732, p. 9). La Corte avverte che diversamente «l’area del controllo difensivo si estenderebbe a dismisura, con conseguente annientamento della valenza delle predette prescrizioni» (Corte di Cassazione, sezione lavoro, sentenza 22 settembre 2021, n. 25732, p. 10), poiché il datore potrebbe acquisire ininterrottamente ogni dato e poi invocarne ex post la natura mirata (Corte di Cassazione, sezione lavoro, sentenza 22 settembre 2021, n. 25732, p. 10).</w:t>
      </w:r>
    </w:p>
    <w:p>
      <w:pPr/>
      <w:r>
        <w:rPr/>
        <w:t>Ne discende che le garanzie dell’art. 4 non risultano integralmente disattivate neppure per i controlli difensivi. Un consolidato orientamento afferma infatti che «l’effettività del divieto di controllo a distanza dell’attività dei lavoratori richiede che anche per i cosiddetti controlli difensivi trovino applicazione le garanzie dell’art. 4 secondo comma», con la conseguenza che i dati incidentalmente rilevati sull’attività lavorativa «non possono essere utilizzati per provare l’inadempimento contrattuale» (Corte di Cassazione, sezione lavoro, sentenza 5 ottobre 2016, n. 19922, p. 2). La categoria si configura così non come deroga generalizzata, ma come eccezione perimetrata dal fondato sospetto e dal limite temporale, e comunque coordinata con gli obblighi informativi e con la normativa protezionistica dei dati (Corte di Cassazione, sezione lavoro, ordinanza 3 giugno 2024, n. 15391, p. 5).</w:t>
      </w:r>
    </w:p>
    <w:p>
      <w:pPr/>
      <w:r>
        <w:rPr/>
        <w:t>Le fonti disponibili documentano con precisione l’evoluzione giurisprudenziale della categoria, i requisiti del fondato sospetto e del dato acquisito ex post e la distinzione tra controlli difensivi in senso lato e stretto; esse non consentono, per contro, di ricostruire in termini quantitativi la frequenza con cui i giudici di merito qualifichino un controllo come difensivo in senso stretto, né di verificare l’uniformità applicativa del criterio temporale nella prassi successiva, sicché l’analisi resta circoscritta al dato giurisprudenziale supplito.</w:t>
      </w:r>
    </w:p>
    <w:p>
      <w:pPr>
        <w:pStyle w:val="Heading2"/>
      </w:pPr>
      <w:r>
        <w:rPr/>
        <w:t>Geolocalizzazione, videosorveglianza e dispositivi biometrici</w:t>
      </w:r>
    </w:p>
    <w:p>
      <w:pPr/>
      <w:r>
        <w:rPr/>
        <w:t>La videosorveglianza sul luogo di lavoro costituisce il paradigma originario del controllo tecnologico, e le sue garanzie sono state definite dal Garante prima ancora che il quadro europeo assumesse la fisionomia attuale. Il provvedimento generale dell’8 aprile 2010 ha imposto ai titolari un articolato sistema di adempimenti, distinguendo tra soggetti pubblici e privati e prescrivendo obblighi di informativa, verifica preliminare e misure di sicurezza (Garante per la protezione dei dati personali, Provvedimento in materia di videosorveglianza, 8 aprile 2010, p. 1). La cogenza di tali prescrizioni è rimarcata dallo stesso Garante, che invita «tutti i titolari dei trattamenti di dati personali effettuati tramite sistemi di videosorveglianza ad attenersi alle prescrizioni indicate», con la conseguenza che l’inosservanza rende il trattamento «illecito oppure non corretto» ed espone all’inutilizzabilità dei dati, a provvedimenti di blocco e alle sanzioni amministrative o penali (Garante per la protezione dei dati personali, Provvedimento in materia di videosorveglianza, 8 aprile 2010, p. 19). Ne emerge che la videosorveglianza, lungi dal costituire strumento neutrale, è sin dall’origine assoggettata a un regime di legittimità procedurale che anticipa e prefigura la logica dell’accountability successivamente generalizzata dal Regolamento.</w:t>
      </w:r>
    </w:p>
    <w:p>
      <w:pPr/>
      <w:r>
        <w:rPr/>
        <w:t>La geolocalizzazione tramite sistemi GPS installati sugli automezzi aziendali solleva un problema qualificatorio distinto, poiché la finalità dichiarata di sicurezza non esclude la potenzialità di controllo dell’ordinaria prestazione. La giurisprudenza di legittimità ha rilevato che il GPS sulle autovetture «permetteva un controllo a distanza dell’ordinaria prestazione lavorativa, non la tutela di beni estranei al rapporto di lavoro», negando che potessero rilevare il patrimonio o l’immagine aziendale (Corte di Cassazione, sezione lavoro, sentenza 5 ottobre 2016, n. 19922, p. 2). Anche laddove il sistema sia imposto da ragioni di sicurezza pubblica – nel caso richiesto dalla Questura «presumibilmente anche nell’interesse dell’incolumità dei lavoratori» – resta escluso «che lo stesso potesse essere utilizzato per controllare la loro attività lavorativa» (Corte di Cassazione, sezione lavoro, sentenza 5 ottobre 2016, n. 19922, p. 2). Il principio applicato è quello per cui le garanzie dell’art. 4 operano anche per i controlli difensivi, sicché i dati eventualmente rilevati sull’attività non possono provare l’inadempimento contrattuale (Corte di Cassazione, sezione lavoro, sentenza 5 ottobre 2016, n. 19922, p. 2). La geolocalizzazione conferma così che il vincolo teleologico e procedurale prevale sulla mera finalità dichiarata.</w:t>
      </w:r>
    </w:p>
    <w:p>
      <w:pPr/>
      <w:r>
        <w:rPr/>
        <w:t>Il trattamento dei dati biometrici introduce un livello ulteriore di rischio, connesso alla natura intrinsecamente identificativa e non modificabile del dato. Le fonti disponibili documentano le criticità in un contesto diverso da quello lavorativo, quello delle banche dati di polizia, evidenziando come la raccolta di DNA, impronte digitali e immagini facciali imponga un attento «bilanciamento tra esigenze di sicurezza e protezione dei dati personali» e ponga «sfide cruciali alla tutela dei diritti dei cittadini» (Dizdari et al., 2026). Tale analisi, pur riferita allo spazio di libertà, sicurezza e giustizia europeo, offre un indice di problematicità trasferibile al rapporto di lavoro sotto il profilo dei rischi di sorveglianza sistematica. La letteratura disponibile non consente, tuttavia, di ricostruire una specifica prassi del Garante in materia di dati biometrici nel contesto occupazionale, sicché la valutazione dei rischi resta ancorata all’analogia con altri ambiti e al dato normativo generale.</w:t>
      </w:r>
    </w:p>
    <w:p>
      <w:pPr/>
      <w:r>
        <w:rPr/>
        <w:t>Il bilanciamento tra sicurezza e protezione dei dati trova nel GDPR uno strumento tecnico specifico nella valutazione d’impatto, richiesta quando il trattamento «può presentare un rischio elevato per i diritti e le libertà delle persone fisiche», in particolare nei casi di «sorveglianza sistematica su larga scala di una zona accessibile al pubblico» (Regolamento, p. 15). La valutazione deve contenere una «valutazione della necessità e proporzionalità dei trattamenti in relazione alle finalità» e l’individuazione delle misure per affrontare i rischi (Regolamento, p. 15), integrando così i principi di protezione dei dati fin dalla progettazione (Regolamento, p. 14). Ne discende che gli strumenti tecnologici di controllo – videosorveglianza, geolocalizzazione, biometria – convergono verso un unico canone di proporzionalità, ove la finalità di sicurezza legittima l’ingerenza soltanto entro i limiti della necessità dimostrata e delle garanzie procedurali predisposte. Le fonti disponibili documentano con precisione il quadro normativo e i provvedimenti generali; esse non consentono, per contro, di quantificare l’effettiva diffusione delle valutazioni d’impatto nella prassi aziendale relativa a tali strumenti.</w:t>
      </w:r>
    </w:p>
    <w:p>
      <w:pPr>
        <w:pStyle w:val="Heading2"/>
      </w:pPr>
      <w:r>
        <w:rPr/>
        <w:t>Il lavoro agile e le nuove forme di controllo</w:t>
      </w:r>
    </w:p>
    <w:p>
      <w:pPr/>
      <w:r>
        <w:rPr/>
        <w:t>Il lavoro agile ha dissolto la coincidenza fisica tra luogo della prestazione e sfera di controllo datoriale, generando forme di sorveglianza che si esercitano attraverso l’infrastruttura tecnologica anziché nello spazio dell’impresa. La dottrina segnala come la digitalizzazione del lavoro comporti una ridefinizione dei «pattern spazio-temporali» della prestazione, tale da rendere strutturalmente ambigua la distinzione tra tempo di lavoro e tempo di vita e da moltiplicare le occasioni di raccolta dei dati (Ghionzoli, 2025, p. 12). In questa prospettiva l’esecuzione da remoto non attenua ma dilata la potenzialità di controllo, poiché ogni interazione con i sistemi aziendali diviene traccia registrabile: il rischio non è quello del controllo puntuale, bensì di una sorveglianza pervasiva e continua che si insinua nell’ambiente domestico del lavoratore.</w:t>
      </w:r>
    </w:p>
    <w:p>
      <w:pPr/>
      <w:r>
        <w:rPr/>
        <w:t>Tale rischio si aggrava quando il monitoraggio è affidato a sistemi algoritmici. Il trattamento automatizzato dei dati nel rapporto di lavoro rientra tra quelli espressamente qualificati come incidenti su soggetti «vulnerabili», poiché nei contesti lavorativi «c’è assenza di equilibrio nelle relazioni» e il consenso «è in nuce viziato e non «genuino»», in quanto non libero (Ghionzoli, 2025, p. 28). L’asimmetria di potere che caratterizza il rapporto priva dunque il consenso della sua funzione legittimante, imponendo di riportare in equilibrio la relazione mediante una valutazione dell’eccedenza del trattamento e il ricorso a basi giuridiche ulteriori. La sorveglianza algoritmica del lavoratore agile non può perciò fondarsi sull’adesione individuale, ma richiede il presidio dei principi di necessità e proporzionalità già esaminati.</w:t>
      </w:r>
    </w:p>
    <w:p>
      <w:pPr/>
      <w:r>
        <w:rPr/>
        <w:t>A ciò si aggiunge un problema di coordinamento istituzionale. L’impiego dell’intelligenza artificiale e lo sfruttamento dei dati «si pongono in direzione biunivoca», sollevando problemi applicativi «dovuti all’intersezione tra la disciplina del GDPR, del DSA e dell’AI ACT», tanto che le Autorità di vigilanza «si trovano, secondo le rispettive aree di competenza, a vigilare sul medesimo fenomeno di trattamento algoritmico dei dati personali, sollevando questioni relative al coordinamento delle loro attività» (D’Alfonso, 2026). La sovrapposizione di competenze rischia di frammentare la tutela proprio dove il trattamento è più invasivo, sicché l’effettività della protezione dipende dalla capacità delle Autorità di articolare i rispettivi interventi entro un quadro coerente.</w:t>
      </w:r>
    </w:p>
    <w:p>
      <w:pPr/>
      <w:r>
        <w:rPr/>
        <w:t>La risposta prospettata dalle fonti valorizza il canale collettivo quale strumento di riequilibrio. Con l’avanzare delle tecnologie che «incrementano le possibilità di controllo sul lavoratore», anche per via informatica, «le normative nazionali devono essere adeguate»: l’art. 88 GDPR demanda alla contrattazione collettiva la prerogativa di introdurre accordi mirati «sugli aspetti organizzativi», idonei a garantire la trasparenza del trattamento e la tutela della dignità nell’adozione di sistemi di monitoraggio (Ghionzoli, 2025, p. 39). In questa direzione muove anche la proposta dottrinale di istituire, mediante contrattazione o legislazione, un rappresentante sindacale per la protezione dei dati, funzionale a proteggere i lavoratori dalla sorveglianza digitale (Ingrao, 2024). La contrattazione degli algoritmi e la cogestione dei dati – da svolgere «sia in via preventiva e difensiva sia in modo continuo, durante l’intero ciclo di vita del prodotto» (Ghionzoli, 2025, p. 39) – configurano così tutele calibrate sui contesti digitali, capaci di ristabilire simmetria in relazioni strutturalmente asimmetriche.</w:t>
      </w:r>
    </w:p>
    <w:p>
      <w:pPr/>
      <w:r>
        <w:rPr/>
        <w:t>Le fonti disponibili documentano con precisione i rischi del controllo remoto, la qualificazione del lavoratore come soggetto vulnerabile e gli strumenti di tutela di matrice collettiva; esse non consentono, per contro, di ricostruire in termini empirici la diffusione effettiva dei sistemi di monitoraggio algoritmico nel lavoro agile né di valutare il concreto funzionamento del coordinamento tra le Autorità coinvolte, sicché l’analisi resta circoscritta al dato normativo e alle indicazioni di prassi e dottrinali.</w:t>
      </w:r>
    </w:p>
    <w:p>
      <w:pPr>
        <w:pStyle w:val="Heading2"/>
      </w:pPr>
      <w:r>
        <w:rPr/>
        <w:t>La giurisprudenza della Corte di Cassazione</w:t>
      </w:r>
    </w:p>
    <w:p>
      <w:pPr/>
      <w:r>
        <w:rPr/>
        <w:t>L’analisi della giurisprudenza di legittimità consente di ricostruire una linea evolutiva coerente, che muove dall’affermazione dell’inutilizzabilità dei dati raccolti in violazione dell’art. 4 dello Statuto e approda a una sistematica riconfigurazione della categoria dei controlli difensivi. Il punto di partenza è il principio, ripetutamente ribadito, secondo cui «l’effettività del divieto di controllo a distanza dell’attività dei lavoratori richiede che anche per i cosiddetti controlli difensivi trovino applicazione le garanzie dell’art. 4 secondo comma legge n. 300/1970» (Corte di Cassazione, sezione lavoro, sentenza 5 ottobre 2016, n. 19922, p. 2). Ne discende, come corollario applicativo, che i dati acquisiti in difetto delle garanzie procedurali non possano essere valorizzati sul piano probatorio: la sanzione dell’inutilizzabilità opera quale presidio dell’effettività del divieto, impedendo che il risultato conoscitivo illegittimamente ottenuto legittimi la contestazione disciplinare.</w:t>
      </w:r>
    </w:p>
    <w:p>
      <w:pPr/>
      <w:r>
        <w:rPr/>
        <w:t>Su questo asse si colloca la vicenda del sistema di geolocalizzazione satellitare, ove la Corte ha escluso che i dati generati dal GPS installato sulle autovetture aziendali potessero fondare la prova dell’inadempimento contrattuale. L’argomento decisivo è la sovrapposizione fra controllo del bene aziendale e controllo dell’attività ordinaria: il sistema «permetteva un controllo a distanza dell’ordinaria prestazione lavorativa, non la tutela di beni estranei al rapporto di lavoro», sicché gli eventuali pregiudizi al patrimonio e all’immagine dell’impresa «sarebbero in realtà derivati solo dalla non corretta esecuzione degli obblighi contrattuali e non già da una condotta specifica quale appropriazioni indebite del patrimonio aziendale, furti, lesione della riservatezza di dati societari» (Corte di Cassazione, sezione lavoro, sentenza 5 ottobre 2016, n. 19922, p. 2). La pronuncia fissa così un limite qualificatorio essenziale: la finalità difensiva non può essere invocata quando l’oggetto reale del controllo è la resa lavorativa quotidiana.</w:t>
      </w:r>
    </w:p>
    <w:p>
      <w:pPr/>
      <w:r>
        <w:rPr/>
        <w:t>Il momento di sistemazione teorica si compie con il principio di diritto elaborato in tema di controlli difensivi in senso stretto. La Corte, superando la tesi che ne escludeva la sopravvivenza dopo la riforma del 2015, valorizza la distinzione tra controlli difensivi «in senso lato» e «in senso stretto», riconoscendo che questi ultimi, «anche se effettuati con strumenti tecnologici, non avendo ad oggetto la normale attività del lavoratore, si situino, anche oggi, all’esterno del perimetro applicativo dell’art. 4» (Corte di Cassazione, sezione lavoro, sentenza 22 settembre 2021, n. 25732, p. 8). L’ammissibilità è tuttavia rigorosamente condizionata: essa presuppone «l’esistenza di un ragionevole sospetto circa la commissione di illeciti connotati da gravità» (Corte di Cassazione, sezione lavoro, sentenza 22 settembre 2021, n. 25732, p. 8) e non consente al datore «mano libera», dovendosi comunque escludere «un sostanziale annullamento di ogni forma di garanzia della dignità e riservatezza del lavoratore» (Corte di Cassazione, sezione lavoro, sentenza 22 settembre 2021, n. 25732, p. 8). Coerentemente, la cassazione con rinvio impone al giudice di merito di verificare l’effettiva riconducibilità del comportamento datoriale ai presupposti del controllo difensivo, censurando la sentenza che non aveva accertato «se esso avesse ad oggetto esclusivamente dati» acquisiti dopo l’insorgere del sospetto (Corte di Cassazione, sezione lavoro, sentenza 22 settembre 2021, n. 25732, p. 10).</w:t>
      </w:r>
    </w:p>
    <w:p>
      <w:pPr/>
      <w:r>
        <w:rPr/>
        <w:t>La conferma dell’orientamento si rinviene nell’ordinanza n. 15391/2024, che consolida i requisiti così delineati. Vi si ribadisce che sono consentiti, «anche dopo la modifica dell’art. 4 st. lav., ad opera dell’art. 23 del D.Lgs. n. 151 del 2015, i controlli anche tecnologici […] finalizzati alla tutela di beni estranei al rapporto di lavoro o ad evitare comportamenti illeciti, in presenza di un fondato sospetto circa la commissione di un illecito», purché sia assicurato «un corretto bilanciamento» tra interessi aziendali e tutele della dignità e riservatezza, «sempre che il controllo riguardi dati acquisiti successivamente all’insorgere del sospetto» (Corte di Cassazione, sezione lavoro, ordinanza 3 giugno 2024, n. 15391, p. 4). La pronuncia, richiamando i precedenti n. 25732/2021 e n. 34092/2021, chiarisce inoltre l’onere di allegazione gravante sul datore, il quale non aveva dedotto nei gradi di merito che l’installazione del dispositivo Telepass rientrasse tra i controlli difensivi né provato «le specifiche circostanze» che l’avevano indotto ad attivare quel controllo (Corte di Cassazione, sezione lavoro, ordinanza 3 giugno 2024, n. 15391, p. 4). Ne consegue l’inutilizzabilità dei dati impiegati nella contestazione disciplinare «in difetto della copertura normativa» (Corte di Cassazione, sezione lavoro, ordinanza 3 giugno 2024, n. 15391, p. 5).</w:t>
      </w:r>
    </w:p>
    <w:p>
      <w:pPr/>
      <w:r>
        <w:rPr/>
        <w:t>Le fonti disponibili documentano con precisione l’evoluzione del diritto vivente, i requisiti del fondato sospetto e dell’acquisizione ex post e il regime dell’onere probatorio; esse non consentono, per contro, di verificare l’uniformità applicativa di tali criteri nella giurisprudenza di merito successiva, sicché l’analisi resta circoscritta alle pronunce di legittimità supplite.</w:t>
      </w:r>
    </w:p>
    <w:p>
      <w:pPr>
        <w:pStyle w:val="Heading2"/>
      </w:pPr>
      <w:r>
        <w:rPr/>
        <w:t>La giurisprudenza della Corte europea dei diritti dell'uomo</w:t>
      </w:r>
    </w:p>
    <w:p>
      <w:pPr/>
      <w:r>
        <w:rPr/>
        <w:t xml:space="preserve">La giurisprudenza della Corte europea dei diritti dell’uomo ha assunto un ruolo centrale nella definizione degli standard di tutela della vita privata del lavoratore, elevando il controllo a distanza a questione di rilevanza convenzionale ai sensi dell’art. 8 CEDU. Il caso </w:t>
      </w:r>
      <w:r>
        <w:rPr>
          <w:i/>
        </w:rPr>
        <w:t>Bărbulescu c. Romania</w:t>
      </w:r>
      <w:r>
        <w:rPr/>
        <w:t xml:space="preserve">, deciso dalla Grande Camera, costituisce il precedente inaugurale di tale orientamento. La Corte ha anzitutto riconosciuto l’applicabilità dell’art. 8 alla fattispecie, muovendo dalla nozione di </w:t>
      </w:r>
      <w:r>
        <w:rPr>
          <w:i/>
        </w:rPr>
        <w:t>reasonable expectation of privacy</w:t>
      </w:r>
      <w:r>
        <w:rPr/>
        <w:t xml:space="preserve"> e distinguendo il caso da precedenti quali </w:t>
      </w:r>
      <w:r>
        <w:rPr>
          <w:i/>
        </w:rPr>
        <w:t>Copland</w:t>
      </w:r>
      <w:r>
        <w:rPr/>
        <w:t xml:space="preserve"> e </w:t>
      </w:r>
      <w:r>
        <w:rPr>
          <w:i/>
        </w:rPr>
        <w:t>Halford</w:t>
      </w:r>
      <w:r>
        <w:rPr/>
        <w:t xml:space="preserve"> in ragione del regolamento interno datoriale che vietava rigorosamente l’uso personale degli strumenti aziendali (CASE OF BĂRBULESCU v. ROMANIA, p. 26). Nondimeno, la Corte ha statuito che le istruzioni del datore «cannot reduce private social life in the workplace to zero», affermando che «respect for private life and for the privacy of correspondence continues to exist, even if these may be restricted in so far as necessary» (CASE OF BĂRBULESCU v. ROMANIA, p. 31). Ne discende che neppure un divieto assoluto di uso personale può azzerare la protezione della vita privata e della corrispondenza sul luogo di lavoro.</w:t>
      </w:r>
    </w:p>
    <w:p>
      <w:pPr/>
      <w:r>
        <w:rPr/>
        <w:t>Il monitoraggio della corrispondenza elettronica è stato ricondotto dalla Corte a un conflitto strutturale tra il diritto del datore di esercitare il controllo e il diritto del lavoratore alla riservatezza. Tale conflitto, osserva la sentenza, è stato «settled at European Union level» attraverso la direttiva 95/46/CE, che ha enucleato una serie di principi governanti il monitoraggio di internet e della posta elettronica: il principio di necessità, per cui il controllo deve essere necessario a un fine determinato; il principio di specificazione della finalità; e il principio di trasparenza, in forza del quale il datore deve fornire ai lavoratori un’informazione completa (CASE OF BĂRBULESCU v. ROMANIA, p. 9). La Corte ha così ancorato la valutazione della legittimità del monitoraggio a un test di proporzionalità che integra il dovere di informazione preventiva quale requisito imprescindibile dell’ingerenza.</w:t>
      </w:r>
    </w:p>
    <w:p>
      <w:pPr/>
      <w:r>
        <w:rPr/>
        <w:t xml:space="preserve">Il caso </w:t>
      </w:r>
      <w:r>
        <w:rPr>
          <w:i/>
        </w:rPr>
        <w:t>López Ribalda e altri c. Spagna</w:t>
      </w:r>
      <w:r>
        <w:rPr/>
        <w:t xml:space="preserve">, deciso anch’esso dalla Grande Camera, ha esteso l’elaborazione dei criteri di proporzionalità alla videosorveglianza occulta. La fattispecie concerneva un gestore di supermercato che, riscontrate discrepanze tra scorte e incassi e sospettando condotte appropriative, aveva installato telecamere nascoste per la sorveglianza indistinta di tutto il personale addetto alle casse, senza informazione preventiva (Corte di Cassazione, sezione lavoro, sentenza 22 settembre 2021, n. 25732, p. 8). Le ricorrenti avevano invocato l’applicazione dell’approccio adottato in </w:t>
      </w:r>
      <w:r>
        <w:rPr>
          <w:i/>
        </w:rPr>
        <w:t>Bărbulescu</w:t>
      </w:r>
      <w:r>
        <w:rPr/>
        <w:t>, ritenendo che la misura non soddisfacesse i requisiti di proporzionalità in ragione dell’assenza di informazione preventiva e dei diritti previsti dalla normativa in materia di protezione dei dati (CASE OF LÓPEZ RIBALDA AND OTHERS v. SPAIN, p. 34). La Corte ha ribadito la centralità del diritto all’informazione, affermando che «only an overriding requirement relating to the protection of significant public or private interests could justify the lack of prior information» (CASE OF LÓPEZ RIBALDA AND OTHERS v. SPAIN, p. 44).</w:t>
      </w:r>
    </w:p>
    <w:p>
      <w:pPr/>
      <w:r>
        <w:rPr/>
        <w:t xml:space="preserve">Il bilanciamento operato dalla Corte in </w:t>
      </w:r>
      <w:r>
        <w:rPr>
          <w:i/>
        </w:rPr>
        <w:t>López Ribalda</w:t>
      </w:r>
      <w:r>
        <w:rPr/>
        <w:t xml:space="preserve"> rivela tuttavia la natura casistica del giudizio di proporzionalità. Pur riaffermando il rilievo dell’informazione preventiva, la Corte ha concluso che, avuto riguardo al grado di intrusione nella vita privata e alle ragioni legittime dell’installazione, i giudici nazionali avevano potuto ritenere l’ingerenza proporzionata senza eccedere il margine di apprezzamento (CASE OF LÓPEZ RIBALDA AND OTHERS v. SPAIN, p. 44). La Corte ha inoltre valorizzato il quadro regolatorio interno, che imponeva la compatibilità delle misure con la dignità umana e richiedeva ai giudici l’applicazione di un triplice test – di appropriatezza, necessità e stretta proporzionalità – nonché l’esclusione di ogni prova acquisita in violazione di un diritto fondamentale (CASE OF LÓPEZ RIBALDA AND OTHERS v. SPAIN, p. 40). L’esistenza di un ragionevole sospetto circa la commissione di illeciti gravi e la prefigurazione dell’entità dei danni economici possono, secondo la lettura interna della pronuncia, costituire giustificazione di peso sufficiente (Corte di Cassazione, sezione lavoro, sentenza 22 settembre 2021, n. 25732, p. 8).</w:t>
      </w:r>
    </w:p>
    <w:p>
      <w:pPr/>
      <w:r>
        <w:rPr/>
        <w:t xml:space="preserve">L’incidenza di tale giurisprudenza sull’ordinamento interno è documentata dal recepimento operato dalla Corte di cassazione, che ha ritenuto la sopravvivenza dei controlli difensivi compatibile con l’art. 8 CEDU come interpretato dalla Corte EDU, richiamando tanto </w:t>
      </w:r>
      <w:r>
        <w:rPr>
          <w:i/>
        </w:rPr>
        <w:t>López Ribalda</w:t>
      </w:r>
      <w:r>
        <w:rPr/>
        <w:t xml:space="preserve"> quanto </w:t>
      </w:r>
      <w:r>
        <w:rPr>
          <w:i/>
        </w:rPr>
        <w:t>Bărbulescu</w:t>
      </w:r>
      <w:r>
        <w:rPr/>
        <w:t xml:space="preserve"> (Corte di Cassazione, sezione lavoro, sentenza 22 settembre 2021, n. 25732, pp. 8–8). La Cassazione ha così assunto i criteri europei quale parametro del corretto bilanciamento tra esigenze di protezione dei beni aziendali e tutele della dignità e riservatezza del lavoratore, da apprezzare in relazione alle circostanze del caso concreto (Corte di Cassazione, sezione lavoro, sentenza 22 settembre 2021, n. 25732, p. 8).</w:t>
      </w:r>
    </w:p>
    <w:p>
      <w:pPr/>
      <w:r>
        <w:rPr/>
        <w:t>Le fonti disponibili documentano con precisione le due pronunce di Grande Camera, i criteri di proporzionalità e il loro recepimento interno; esse non consentono, per contro, di ricostruire l’intera evoluzione successiva della giurisprudenza convenzionale in materia di sorveglianza sul lavoro, sicché l’analisi resta circoscritta ai due precedenti supplii e alla loro ricezione nazionale. Va peraltro segnalato che l’excerpt (Casini &amp; Casini, 2013) concerne un ricorso in materia di procreazione medicalmente assistita e non attiene al controllo dei lavoratori, risultando quindi non pertinente all’oggetto della presente trattazione.</w:t>
      </w:r>
    </w:p>
    <w:p>
      <w:pPr>
        <w:pStyle w:val="Heading2"/>
      </w:pPr>
      <w:r>
        <w:rPr/>
        <w:t>I provvedimenti del Garante per la protezione dei dati personali</w:t>
      </w:r>
    </w:p>
    <w:p>
      <w:pPr/>
      <w:r>
        <w:rPr/>
        <w:t>La prassi del Garante per la protezione dei dati personali costituisce, accanto alla giurisprudenza, la fonte principale per ricostruire i limiti concreti del controllo a distanza, poiché traduce i principi normativi in prescrizioni operative vincolanti. L’analisi dei provvedimenti generali e delle linee guida consente di apprezzare come l’Autorità abbia progressivamente definito lo statuto degli strumenti tecnologici di sorveglianza, muovendo dal presupposto che, in assenza di una legislazione specifica, «si applicano […] le disposizioni generali in tema di protezione dei dati personali» (Garante per la protezione dei dati personali, Provvedimento in materia di videosorveglianza, 8 aprile 2010, p. 2).</w:t>
      </w:r>
    </w:p>
    <w:p>
      <w:pPr/>
      <w:r>
        <w:rPr/>
        <w:t>Il provvedimento in materia di videosorveglianza dell’8 aprile 2010 rappresenta l’intervento sistematico dell’Autorità sul trattamento delle immagini, con cui il Garante ha inteso «intervenire nuovamente in tale settore con il presente provvedimento generale che sostituisce quello del 29 aprile 2004» (Garante per la protezione dei dati personali, Provvedimento in materia di videosorveglianza, 8 aprile 2010, p. 2). La struttura del provvedimento articola gli adempimenti in obblighi di informativa, prescrizioni specifiche e misure di sicurezza, subordinando la liceità del trattamento a uno dei presupposti tipizzati dal Codice e, per i soggetti privati, al bilanciamento degli interessi (Garante per la protezione dei dati personali, Provvedimento in materia di videosorveglianza, 8 aprile 2010, p. 2). Rilevante, sul piano dell’effettività, è la clausola sanzionatoria: la violazione delle misure necessarie espone «all’inutilizzabilità dei dati personali trattati in violazione della relativa disciplina», all’adozione di provvedimenti di blocco o divieto e «all’applicazione delle pertinenti sanzioni amministrative o penali» (Garante per la protezione dei dati personali, Provvedimento in materia di videosorveglianza, 8 aprile 2010, p. 19). La dottrina più recente conferma la perdurante centralità di tale provvedimento, che continua a essere richiamato quale parametro del trattamento mediante dispositivi video, in coordinamento con le Linee Guida n. 3/2019 EDPB (Ghionzoli, 2025, p. 17).</w:t>
      </w:r>
    </w:p>
    <w:p>
      <w:pPr/>
      <w:r>
        <w:rPr/>
        <w:t>Le linee guida su posta elettronica e internet del 1° marzo 2007 affrontano invece il versante degli strumenti telematici, prescrivendo ai datori di lavoro misure «necessarie o opportune» per conformare alle disposizioni vigenti il trattamento effettuato per verificare il corretto utilizzo dei mezzi informatici (Garante per la protezione dei dati personali, Lavoro: le linee guida del Garante per posta elettronica e internet, delib, p. 1). L’Autorità muove dalla constatazione che l’utilizzo di Internet «può […] formare oggetto di analisi, profilazione e integrale ricostruzione mediante elaborazione di log file della navigazione web» (Garante per la protezione dei dati personali, Lavoro: le linee guida del Garante per posta elettronica e internet, delib, p. 1), evidenziando così il potenziale intrusivo insito nella registrazione del traffico telematico. Sul piano procedurale, il Garante prescrive l’onere di «specificare le modalità di utilizzo della posta elettronica e della rete Internet», indicando «se, in che misura e con quali modalità vengano effettuati controlli» (Garante per la protezione dei dati personali, Lavoro: le linee guida del Garante per posta elettronica e internet, delib, p. 9): si tratta di un canone di trasparenza che anticipa e converge con l’obbligo informativo successivamente valorizzato dalla riforma del Jobs Act.</w:t>
      </w:r>
    </w:p>
    <w:p>
      <w:pPr/>
      <w:r>
        <w:rPr/>
        <w:t>Il profilo della conservazione dei log e dei limiti temporali costituisce il punto di maggiore continuità tra prassi e disciplina attuale. Le linee guida del 2007 impongono che i sistemi siano configurati «in modo da cancellare periodicamente ed automaticamente […] i dati personali relativi agli accessi ad Internet e al traffico telematico, la cui conservazione non sia necessaria», ammettendo una conservazione temporanea solo se «giustificata da una finalità specifica e comprovata e limitata al tempo necessario –e predeterminato– a raggiungerla» (Garante per la protezione dei dati personali, Lavoro: le linee guida del Garante per posta elettronica e internet, delib, p. 8). Il Garante esclude inoltre «controlli prolungati, costanti o indiscriminati» (Garante per la protezione dei dati personali, Lavoro: le linee guida del Garante per posta elettronica e internet, delib, p. 8). Tale impostazione trova conferma e specificazione quantitativa nella prassi più recente, ove l’Autorità ha risolto un caso «sulla base del criterio del tempo di conservazione dei log di posta elettronica, che non può superare i 21 giorni», pena la riconducibilità del trattamento al controllo indiretto a distanza ex art. 4, comma 1, dello Statuto (Ghionzoli, 2025, p. 16). Emerge così una linea evolutiva coerente, in cui il criterio di necessità enunciato nel 2007 si traduce in una soglia temporale determinata, idonea a fungere da indice qualificatorio della natura dello strumento.</w:t>
      </w:r>
    </w:p>
    <w:p>
      <w:pPr/>
      <w:r>
        <w:rPr/>
        <w:t>Il ruolo delle linee guida e delle sanzioni può essere infine apprezzato nella sua funzione di raccordo tra principi e prassi: gli atti dell’Autorità operano come strumenti di orientamento preventivo, mentre l’apparato sanzionatorio ne assicura l’effettività attraverso l’inutilizzabilità dei dati e le sanzioni amministrative e penali (Garante per la protezione dei dati personali, Provvedimento in materia di videosorveglianza, 8 aprile 2010, p. 19). Le fonti disponibili documentano con precisione il contenuto prescrittivo dei due provvedimenti generali e l’evoluzione del criterio di conservazione; esse non consentono, per contro, di ricostruire in termini quantitativi la frequenza e l’entità delle sanzioni concretamente irrogate dal Garante nel contesto lavorativo, né di verificare in quale misura i provvedimenti anteriori al GDPR conservino integrale vigenza a seguito dell’adeguamento operato dal d.lgs. n. 101/2018, sicché l’analisi resta circoscritta al dato testuale dei provvedimenti e alle loro letture di prassi e dottrinali.</w:t>
      </w:r>
    </w:p>
    <w:p>
      <w:pPr>
        <w:pStyle w:val="Heading2"/>
      </w:pPr>
      <w:r>
        <w:rPr/>
        <w:t>Il bilanciamento tra potere di controllo e tutela della riservatezza</w:t>
      </w:r>
    </w:p>
    <w:p>
      <w:pPr/>
      <w:r>
        <w:rPr/>
        <w:t>Il criterio ordinatore che attraversa l’intera disciplina dei controlli a distanza è quello del bilanciamento tra beni contrapposti, secondo una formula ormai consolidata nel diritto vivente. La Corte di cassazione ha ricostruito la materia richiamando i principi di buona fede e correttezza, imponendo «modalità non eccessivamente invasive e rispettose delle garanzie di libertà e dignità dei dipendenti, con le quali l’interesse del datore di lavoro al controllo ed alla difesa della organizzazione produttiva aziendale deve contemperarsi» (Corte di Cassazione, sezione lavoro, sentenza 22 settembre 2021, n. 25732, p. 6). La disciplina non muove dunque dalla prevalenza assiologica di uno dei termini, ma dalla loro necessaria composizione: né l’interesse aziendale né la riservatezza del lavoratore operano come valori assoluti, ciascuno trovando nell’altro il proprio limite funzionale.</w:t>
      </w:r>
    </w:p>
    <w:p>
      <w:pPr/>
      <w:r>
        <w:rPr/>
        <w:t>Il primo termine del bilanciamento si radica nella libertà di iniziativa economica, che legittima il potere di controllo quale corollario dell’organizzazione produttiva. Le fonti collocano espressamente le «esigenze di protezione di interessi e beni aziendali» in correlazione con la «libertà di iniziativa economica» (Corte di Cassazione, sezione lavoro, sentenza 22 settembre 2021, n. 25732, p. 8), riconoscendo così un fondamento costituzionale alla pretesa datoriale di tutelare il patrimonio dell’impresa anche mediante strumenti tecnologici. Tale legittimazione, tuttavia, non è incondizionata: la giurisprudenza ammette i controlli anche tecnologici «finalizzati alla tutela di beni estranei al rapporto di lavoro o ad evitare comportamenti illeciti, in presenza di un fondato sospetto circa la commissione di un illecito» (Corte di Cassazione, sezione lavoro, ordinanza 3 giugno 2024, n. 15391, p. 4), subordinandone la liceità a presupposti puntuali. Il potere di controllo si configura pertanto come facoltà conformata, il cui esercizio è ammesso solo entro i limiti tracciati dalla necessità e dalla proporzionalità rispetto alla finalità di protezione.</w:t>
      </w:r>
    </w:p>
    <w:p>
      <w:pPr/>
      <w:r>
        <w:rPr/>
        <w:t>Il secondo termine – la riservatezza e la dignità del lavoratore – opera invece come limite invalicabile, non comprimibile oltre una soglia essenziale. Il diritto vivente afferma con nettezza che «in nessun caso può essere giustificato un sostanziale annullamento di ogni forma di garanzia della dignità e riservatezza del lavoratore» (Corte di Cassazione, sezione lavoro, sentenza 22 settembre 2021, n. 25732, p. 8), indicando così un nucleo indefettibile di tutela sottratto alla logica del bilanciamento. Il contemperamento, che «non può prescindere dalle circostanze del caso concreto» (Corte di Cassazione, sezione lavoro, sentenza 22 settembre 2021, n. 25732, p. 8), deve inoltre svolgersi «nel rispetto della normativa Europea, e segnatamente dell’art. 8 della Convenzione Europea dei diritti dell’uomo come interpretato dalla giurisprudenza della Corte Europea dei diritti dell’uomo» (Corte di Cassazione, sezione lavoro, sentenza 22 settembre 2021, n. 25732, p. 8). La riservatezza non è dunque un mero interesse da ponderare, ma un limite qualificato dalla protezione multilivello dei diritti fondamentali, che vieta la conversione della subordinazione in sorveglianza totale.</w:t>
      </w:r>
    </w:p>
    <w:p>
      <w:pPr/>
      <w:r>
        <w:rPr/>
        <w:t>Su questo criterio si innesta la complementarità funzionale tra Statuto e GDPR, che il bilanciamento salda in un unico regime di legittimità. Le fonti documentano come il coordinamento delle discipline miri a «garantire un equo bilanciamento tra gli interessi economico-organizzativi del datore di lavoro e il diritto alla privacy dell’interessato lavoratore» (Corte di Cassazione, sezione lavoro, ordinanza 3 giugno 2024, n. 15391, p. 17), con l’art. 88 GDPR che fa salve le norme nazionali di maggior tutela quali l’art. 23 del d.lgs. n. 151/2015 (Corte di Cassazione, sezione lavoro, ordinanza 3 giugno 2024, n. 15391, p. 17). Il Regolamento si conferma così «un baluardo di democrazia, in grado di controllare e limitare il potere datoriale, colmare i vuoti normativi, superare i contrasti dottrinali e giurisprudenziali» (Corte di Cassazione, sezione lavoro, ordinanza 3 giugno 2024, n. 15391, p. 20), mentre la normativa statutaria offre i presupposti procedurali e il canale collettivo di legittimazione. In questa prospettiva la dottrina ipotizza che l’integrazione dei due sistemi possa fondare strumenti negoziali innovativi, sino a prospettare l’istituzione di un rappresentante sindacale per la protezione dei dati (Ingrao, 2024). I due corpi normativi operano dunque non come regimi alternativi, ma come livelli integrati che convergono verso il medesimo canone di proporzionalità.</w:t>
      </w:r>
    </w:p>
    <w:p>
      <w:pPr/>
      <w:r>
        <w:rPr/>
        <w:t>Le fonti disponibili documentano con precisione la formula del bilanciamento, il suo fondamento costituzionale e convenzionale e la complementarità tra le due discipline; esse non consentono, per contro, di quantificare l’esito concreto del giudizio di contemperamento nei diversi contesti produttivi né di verificare l’uniformità con cui il nucleo indefettibile della dignità venga preservato nella prassi applicativa, sicché l’analisi resta circoscritta al dato normativo e giurisprudenziale supplito.</w:t>
      </w:r>
    </w:p>
    <w:p>
      <w:pPr>
        <w:pStyle w:val="Heading1"/>
      </w:pPr>
      <w:r>
        <w:rPr/>
        <w:t>Conclusioni</w:t>
      </w:r>
    </w:p>
    <w:p>
      <w:pPr/>
      <w:r>
        <w:rPr/>
        <w:t>La domanda che ha guidato l’indagine chiedeva se l’interazione tra l’art. 4 dello Statuto dei lavoratori e i principi del Regolamento (UE) 2016/679 configuri, in materia di controllo a distanza, un sistema coerente di garanzie o piuttosto una sovrapposizione disordinata di regimi. Le acquisizioni sviluppate nei capitoli consentono una risposta netta: non di sovrapposizione si tratta, ma di integrazione su livelli autonomi e concorrenti. La disciplina lavoristica, pur trasformata dalla novella del 2015 che ha sostituito il divieto generale con una regolazione abilitante fondata sull’accordo sindacale o sull’autorizzazione dell’Ispettorato e sull’informazione preventiva individuale, conserva la propria funzione di presidio procedurale; il GDPR fornisce i principi sostanziali e l’apparato dell’accountability. Il raccordo opera per saldatura, poiché l’art. 88 fa salve le norme nazionali di maggior tutela quali l’art. 23 del d.lgs. n. 151/2015 e l’art. 114 del Codice privacy incorpora i presupposti statutari tra le condizioni di liceità del trattamento, sicché il trattamento «è lecito solo se conforme alle discipline di settore applicabili» (Ghionzoli, 2025, p. 16). Esistono così «diversi e autonomi livelli di garanzia», costituiti dal Codice privacy e dall’art. 4 St. lav. «in combinato disposto con gli artt. 5 e 6 GDPR» (Ghionzoli, 2025, p. 18).</w:t>
      </w:r>
    </w:p>
    <w:p>
      <w:pPr/>
      <w:r>
        <w:rPr/>
        <w:t>Entro questa cornice, la giurisprudenza e la prassi del Garante hanno svolto la funzione decisiva di calibrare il bilanciamento tra libertà di iniziativa economica e nucleo indefettibile di dignità e riservatezza. La Cassazione ha ridefinito i controlli difensivi come eccezione perimetrata dal fondato sospetto e dal limite del dato acquisito ex post, sanzionando con l’inutilizzabilità i dati raccolti «in difetto della copertura normativa» (Ghionzoli, 2025, p. 16); il Garante ha tradotto il principio di necessità nella soglia dei ventuno giorni di conservazione dei log, oltre la quale il trattamento ridiventa controllo indiretto ex art. 4, comma 1 (Ghionzoli, 2025, p. 16). Su questa base ordinatrice il Regolamento innesta un approccio «proattivo e preventivo fondato sul principio di accountability», declinando l’effettività «in termini di responsabilità, prevenzione e deterrenza» (Giacalone, 2025).</w:t>
      </w:r>
    </w:p>
    <w:p>
      <w:pPr/>
      <w:r>
        <w:rPr/>
        <w:t>Restano, tuttavia, criticità aperte che l’analisi ha isolato senza poterle esaurire. Il lavoro agile dilata la potenzialità di controllo insinuandola nell’ambiente domestico, mentre i trattamenti algoritmici incidono su un soggetto «vulnerabile», il cui consenso «è in nuce viziato e non «genuino», in quanto non libero» (Ghionzoli, 2025, p. 28); il coordinamento tra GDPR, DSA e AI Act solleva problemi applicativi tuttora irrisolti (Ghionzoli, 2025). Proprio qui si colloca la linea evolutiva più promettente: il rafforzamento delle tutele collettive, con la valorizzazione della contrattazione quale strumento negoziale idoneo a generare, ai sensi dell’art. 88, comma 2, «ulteriori e interessanti opportunità di tutela» (Ghionzoli, 2025, p. 18), sino alla prospettata istituzione di un rappresentante sindacale per la protezione dei dati (Ingrao, 2024).</w:t>
      </w:r>
    </w:p>
    <w:p>
      <w:pPr/>
      <w:r>
        <w:rPr/>
        <w:t>Va infine dichiarato con onestà il limite dell’indagine: le fonti disponibili documentano con precisione il dato normativo, giurisprudenziale e di prassi, ma non consentono di ricostruire in termini empirici l’effettiva applicazione dei principi nelle concrete configurazioni aziendali né i contenuti tipici degli accordi sindacali e dei provvedimenti dell’Ispettorato. La risposta alla domanda di ricerca resta pertanto ancorata al diritto positivo e alla sua interpretazione autorevole, indicando nell’integrazione dei due sistemi e nel rilancio della dimensione collettiva la direzione in cui la tutela dei dati del lavoratore appare destinata a consolidarsi.</w:t>
      </w:r>
    </w:p>
    <w:p>
      <w:pPr>
        <w:pStyle w:val="Heading1"/>
      </w:pPr>
      <w:r>
        <w:rPr/>
        <w:t>Bibliografia</w:t>
      </w:r>
    </w:p>
    <w:p>
      <w:pPr/>
      <w:r>
        <w:rPr/>
        <w:t>Casini, C., &amp; Casini, M. (2013).  Diritto di proprietà vs diritto alla vita? Una nuova questione dinanzi alla Corte europea dei diritti dell’uomo. Medicina e Morale. https://doi.org/10.4081/mem.2013.75</w:t>
      </w:r>
    </w:p>
    <w:p>
      <w:pPr/>
      <w:r>
        <w:rPr/>
        <w:t>D'Alfonso, G. (2026).  Piattaforme digitali e trattamenti algoritmici dei dati personali. La co-vigilanza delle Autorità di controllo di settore. European Journal of Privacy Law &amp; Technologies. https://doi.org/10.57230/ejpltsi252gda</w:t>
      </w:r>
    </w:p>
    <w:p>
      <w:pPr/>
      <w:r>
        <w:rPr/>
        <w:t>Dizdari, R., Paris, C., Biondo, R., &amp; Romolo, F. S. (2026).  Banche dati delle forze di polizia, dati biometrici e diritti dei cittadini in Europa. European Journal of Privacy Law &amp; Technologies. https://doi.org/10.57230/ejplt25sibrdcprbfsr</w:t>
      </w:r>
    </w:p>
    <w:p>
      <w:pPr/>
      <w:r>
        <w:rPr/>
        <w:t>Ghionzoli, S. (2025).  Sistemi di IA in ambiente di lavoro: traiettorie giuridiche tra privacy e strategia dei droni 2.0.</w:t>
      </w:r>
    </w:p>
    <w:p>
      <w:pPr/>
      <w:r>
        <w:rPr/>
        <w:t>Giacalone, P. (2025).  L'effettività della tutela nel diritto alla riservatezza | The effectiveness of the protection of the right to privacy. European Journal of Privacy Law &amp; Technologies. https://doi.org/10.57230/ejpltsibpg</w:t>
      </w:r>
    </w:p>
    <w:p>
      <w:pPr/>
      <w:r>
        <w:rPr/>
        <w:t>Ingrao, A. (2024).  Controllo a distanza e diritto alla protezione dei dati. Sulla complementarità dei due sistemi normativi. Studi e saggi. https://doi.org/10.36253/979-12-215-0507-8.38</w:t>
      </w:r>
    </w:p>
    <w:p>
      <w:pPr>
        <w:pStyle w:val="Heading1"/>
      </w:pPr>
      <w:r>
        <w:rPr/>
        <w:t>Normativa e giurisprudenza</w:t>
      </w:r>
    </w:p>
    <w:p>
      <w:pPr/>
      <w:r>
        <w:rPr/>
        <w:t>CASE OF BĂRBULESCU v. ROMANIA.</w:t>
      </w:r>
    </w:p>
    <w:p>
      <w:pPr/>
      <w:r>
        <w:rPr/>
        <w:t>CASE OF LÓPEZ RIBALDA AND OTHERS v. SPAIN.</w:t>
      </w:r>
    </w:p>
    <w:p>
      <w:pPr/>
      <w:r>
        <w:rPr/>
        <w:t>Corte di Cassazione, sezione III penale, sentenza 30 gennaio 2014, n. 4331 (testo integrale).</w:t>
      </w:r>
    </w:p>
    <w:p>
      <w:pPr/>
      <w:r>
        <w:rPr/>
        <w:t>Corte di Cassazione, sezione lavoro, ordinanza 3 giugno 2024, n. 15391 (testo integrale).</w:t>
      </w:r>
    </w:p>
    <w:p>
      <w:pPr/>
      <w:r>
        <w:rPr/>
        <w:t>Corte di Cassazione, sezione lavoro, sentenza 22 settembre 2021, n. 25732 (testo integrale).</w:t>
      </w:r>
    </w:p>
    <w:p>
      <w:pPr/>
      <w:r>
        <w:rPr/>
        <w:t>Corte di Cassazione, sezione lavoro, sentenza 5 ottobre 2016, n. 19922 (testo integrale).</w:t>
      </w:r>
    </w:p>
    <w:p>
      <w:pPr/>
      <w:r>
        <w:rPr/>
        <w:t>Decreto legislativo 14 settembre 2015, n. 151, art. 23 (Modifiche all'articolo 4 della legge 20 maggio 1970, n. 300 e all'articolo 171 del decreto legislativo 30 giugno 2003, n. 196).</w:t>
      </w:r>
    </w:p>
    <w:p>
      <w:pPr/>
      <w:r>
        <w:rPr/>
        <w:t>Decreto legislativo 30 giugno 2003, n. 196 (Codice in materia di protezione dei dati personali), art. 114 (Garanzie in materia di controllo a distanza), testo vigente.</w:t>
      </w:r>
    </w:p>
    <w:p>
      <w:pPr/>
      <w:r>
        <w:rPr/>
        <w:t>Garante per la protezione dei dati personali, Lavoro: le linee guida del Garante per posta elettronica e internet, deliberazione n. 13 del 1° marzo 2007 (doc. web n. 1387522).</w:t>
      </w:r>
    </w:p>
    <w:p>
      <w:pPr/>
      <w:r>
        <w:rPr/>
        <w:t>Garante per la protezione dei dati personali, Provvedimento in materia di videosorveglianza, 8 aprile 2010 (doc. web n. 1712680).</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Regolamento (UE) 2016/679 (GDPR), articoli 4, 5, 6, 9, 13, 22, 25, 35 e 88 (testo italiano).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2026-09-14T16:00:03Z</dcterms:created>
  <dcterms:modified xsi:type="dcterms:W3CDTF">2026-09-14T16:00:03Z</dcterms:modified>
  <cp:category/>
</cp:coreProperties>
</file>