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Analyzing LLM Evaluations</w:t>
      </w:r>
    </w:p>
    <w:p>
      <w:pPr>
        <w:pStyle w:val="Date"/>
      </w:pPr>
      <w:r>
        <w:t xml:space="preserve">2025-09-05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Frameworks exist for automating the evaluations of LLMs so that queries can be executed and assessed over many experimental factors: LLM models, prompts, replicates, etc. The resulting designs are often factorial in nature but can have a variety of hierarchical structures, such as replicates within queries, scores within raters, and so on.</w:t>
      </w:r>
    </w:p>
    <w:p>
      <w:pPr>
        <w:pStyle w:val="Abstract"/>
      </w:pPr>
      <w:r>
        <w:t xml:space="preserve">This talk describes how experimental results can be analyzed and reported for a variety of designs and outcome types (percentage correct, correct/incorrect, ordinal scales, etc.). It also shows how off-the-shelf tools for Frequentist and Bayesian inferential analysis can be utilized. The methods are illustrated with an example evaluation experiment.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LLM Evaluations</dc:title>
  <dc:creator/>
  <cp:keywords/>
  <dcterms:created xsi:type="dcterms:W3CDTF">2025-09-05T18:57:17Z</dcterms:created>
  <dcterms:modified xsi:type="dcterms:W3CDTF">2025-09-05T18:57:17Z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Frameworks exist for automating the evaluations of LLMs so that queries can be executed and assessed over many experimental factors: LLM models, prompts, replicates, etc. The resulting designs are often factorial in nature but can have a variety of hierarchical structures, such as replicates within queries, scores within raters, and so on.This talk describes how experimental results can be analyzed and reported for a variety of designs and outcome types (percentage correct, correct/incorrect, ordinal scales, etc.). It also shows how off-the-shelf tools for Frequentist and Bayesian inferential analysis can be utilized. The methods are illustrated with an example evaluation experiment.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2025-09-05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