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8C1515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b/>
                <w:color w:val="FFFFFF"/>
                <w:sz w:val="44"/>
              </w:rPr>
              <w:t>SURN ITNM REGISTRY</w:t>
            </w:r>
          </w:p>
          <w:p>
            <w:pPr>
              <w:jc w:val="center"/>
              <w:spacing w:before="0" w:after="60"/>
            </w:pPr>
            <w:r>
              <w:rPr>
                <w:rFonts w:ascii="Arial" w:hAnsi="Arial"/>
                <w:color w:val="FFDDAA"/>
                <w:sz w:val="22"/>
              </w:rPr>
              <w:t>A National Real-World Outcomes Registry for Implantable Tibial Neuromodulation Devices</w:t>
            </w:r>
          </w:p>
          <w:p>
            <w:pPr>
              <w:jc w:val="center"/>
              <w:spacing w:before="0" w:after="0"/>
            </w:pPr>
            <w:r>
              <w:rPr>
                <w:rFonts w:ascii="Arial" w:hAnsi="Arial"/>
                <w:b w:val="0"/>
                <w:color w:val="FFFFFF"/>
                <w:sz w:val="19"/>
              </w:rPr>
              <w:t>Sponsored by the SUFU Research Network  ·  AUA 2026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040"/>
            <w:tcW w:w="6249" w:type="dxa"/>
            <w:tcMar>
              <w:top w:w="0" w:type="dxa"/>
              <w:bottom w:w="0" w:type="dxa"/>
              <w:left w:w="0" w:type="dxa"/>
              <w:right w:w="240" w:type="dxa"/>
            </w:tcMar>
          </w:tcPr>
          <w:p>
            <w:pPr>
              <w:spacing w:before="0" w:after="60"/>
              <w:pBdr>
                <w:bottom w:val="single" w:sz="8" w:color="8C1515"/>
              </w:pBdr>
            </w:pPr>
            <w:r>
              <w:rPr>
                <w:rFonts w:ascii="Arial" w:hAnsi="Arial"/>
                <w:b/>
                <w:color w:val="8C1515"/>
                <w:sz w:val="24"/>
              </w:rPr>
              <w:t>WHAT IS IT?</w:t>
            </w:r>
          </w:p>
          <w:p>
            <w:pPr>
              <w:spacing w:before="40" w:after="60"/>
            </w:pPr>
            <w:r>
              <w:rPr>
                <w:rFonts w:ascii="Arial" w:hAnsi="Arial"/>
                <w:color w:val="333333"/>
                <w:sz w:val="21"/>
              </w:rPr>
              <w:t>A prospective, multi-center real-world outcomes registry for patients receiving implantable tibial neuromodulation (iTNM) devices — including Revi™, eCoin™, and Altaviva™. IRB-approved and open to all U.S. centers.</w:t>
            </w:r>
          </w:p>
          <w:p>
            <w:pPr>
              <w:spacing w:before="180" w:after="60"/>
              <w:pBdr>
                <w:bottom w:val="single" w:sz="8" w:color="8C1515"/>
              </w:pBdr>
            </w:pPr>
            <w:r>
              <w:rPr>
                <w:rFonts w:ascii="Arial" w:hAnsi="Arial"/>
                <w:b/>
                <w:color w:val="8C1515"/>
                <w:sz w:val="24"/>
              </w:rPr>
              <w:t>WHY JOIN?</w:t>
            </w:r>
          </w:p>
          <w:p>
            <w:pPr>
              <w:pStyle w:val="ListBullet"/>
              <w:spacing w:before="30" w:after="30"/>
              <w:ind w:left="360" w:hanging="220"/>
            </w:pPr>
            <w:r>
              <w:rPr>
                <w:rFonts w:ascii="Arial" w:hAnsi="Arial"/>
                <w:color w:val="333333"/>
                <w:sz w:val="21"/>
              </w:rPr>
              <w:t>Track your own patient outcomes in a live provider dashboard</w:t>
            </w:r>
          </w:p>
          <w:p>
            <w:pPr>
              <w:pStyle w:val="ListBullet"/>
              <w:spacing w:before="30" w:after="30"/>
              <w:ind w:left="360" w:hanging="220"/>
            </w:pPr>
            <w:r>
              <w:rPr>
                <w:rFonts w:ascii="Arial" w:hAnsi="Arial"/>
                <w:color w:val="333333"/>
                <w:sz w:val="21"/>
              </w:rPr>
              <w:t>Contribute to the first national iTNM real-world evidence dataset</w:t>
            </w:r>
          </w:p>
          <w:p>
            <w:pPr>
              <w:pStyle w:val="ListBullet"/>
              <w:spacing w:before="30" w:after="30"/>
              <w:ind w:left="360" w:hanging="220"/>
            </w:pPr>
            <w:r>
              <w:rPr>
                <w:rFonts w:ascii="Arial" w:hAnsi="Arial"/>
                <w:color w:val="333333"/>
                <w:sz w:val="21"/>
              </w:rPr>
              <w:t>No additional clinical visits or procedures required</w:t>
            </w:r>
          </w:p>
          <w:p>
            <w:pPr>
              <w:pStyle w:val="ListBullet"/>
              <w:spacing w:before="30" w:after="30"/>
              <w:ind w:left="360" w:hanging="220"/>
            </w:pPr>
            <w:r>
              <w:rPr>
                <w:rFonts w:ascii="Arial" w:hAnsi="Arial"/>
                <w:color w:val="333333"/>
                <w:sz w:val="21"/>
              </w:rPr>
              <w:t>Patients complete surveys remotely — $10 gift card per survey</w:t>
            </w:r>
          </w:p>
          <w:p>
            <w:pPr>
              <w:pStyle w:val="ListBullet"/>
              <w:spacing w:before="30" w:after="30"/>
              <w:ind w:left="360" w:hanging="220"/>
            </w:pPr>
            <w:r>
              <w:rPr>
                <w:rFonts w:ascii="Arial" w:hAnsi="Arial"/>
                <w:color w:val="333333"/>
                <w:sz w:val="21"/>
              </w:rPr>
              <w:t>Patient enrollment opens Summer 2026 — register now to be ready</w:t>
            </w:r>
          </w:p>
          <w:p>
            <w:pPr>
              <w:spacing w:before="180" w:after="60"/>
              <w:pBdr>
                <w:bottom w:val="single" w:sz="8" w:color="8C1515"/>
              </w:pBdr>
            </w:pPr>
            <w:r>
              <w:rPr>
                <w:rFonts w:ascii="Arial" w:hAnsi="Arial"/>
                <w:b/>
                <w:color w:val="8C1515"/>
                <w:sz w:val="24"/>
              </w:rPr>
              <w:t>HOW IT WORKS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520"/>
              <w:gridCol w:w="2520"/>
            </w:tblGrid>
            <w:tr>
              <w:tc>
                <w:tcPr>
                  <w:tcW w:type="dxa" w:w="2520"/>
                  <w:tcW w:w="360" w:type="dxa"/>
                  <w:shd w:val="clear" w:color="auto" w:fill="8C1515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1</w:t>
                  </w:r>
                </w:p>
              </w:tc>
              <w:tc>
                <w:tcPr>
                  <w:tcW w:type="dxa" w:w="2520"/>
                  <w:tcW w:w="5849" w:type="dxa"/>
                  <w:tcMar>
                    <w:top w:w="40" w:type="dxa"/>
                    <w:bottom w:w="40" w:type="dxa"/>
                    <w:left w:w="140" w:type="dxa"/>
                    <w:right w:w="0" w:type="dxa"/>
                  </w:tcMar>
                  <w:shd w:val="clear" w:color="auto" w:fill="F9F6F2"/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8C1515"/>
                      <w:sz w:val="21"/>
                    </w:rPr>
                    <w:t xml:space="preserve">Register your site  </w:t>
                  </w:r>
                  <w:r>
                    <w:rPr>
                      <w:rFonts w:ascii="Arial" w:hAnsi="Arial"/>
                      <w:color w:val="666666"/>
                      <w:sz w:val="19"/>
                    </w:rPr>
                    <w:t>2 minutes online</w:t>
                  </w:r>
                </w:p>
              </w:tc>
            </w:tr>
          </w:tbl>
          <w:p/>
          <w:p>
            <w:pPr>
              <w:spacing w:before="0" w:after="50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520"/>
              <w:gridCol w:w="2520"/>
            </w:tblGrid>
            <w:tr>
              <w:tc>
                <w:tcPr>
                  <w:tcW w:type="dxa" w:w="2520"/>
                  <w:tcW w:w="360" w:type="dxa"/>
                  <w:shd w:val="clear" w:color="auto" w:fill="8C1515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2</w:t>
                  </w:r>
                </w:p>
              </w:tc>
              <w:tc>
                <w:tcPr>
                  <w:tcW w:type="dxa" w:w="2520"/>
                  <w:tcW w:w="5849" w:type="dxa"/>
                  <w:tcMar>
                    <w:top w:w="40" w:type="dxa"/>
                    <w:bottom w:w="40" w:type="dxa"/>
                    <w:left w:w="140" w:type="dxa"/>
                    <w:right w:w="0" w:type="dxa"/>
                  </w:tcMar>
                  <w:shd w:val="clear" w:color="auto" w:fill="F9F6F2"/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8C1515"/>
                      <w:sz w:val="21"/>
                    </w:rPr>
                    <w:t xml:space="preserve">Share enrollment link  </w:t>
                  </w:r>
                  <w:r>
                    <w:rPr>
                      <w:rFonts w:ascii="Arial" w:hAnsi="Arial"/>
                      <w:color w:val="666666"/>
                      <w:sz w:val="19"/>
                    </w:rPr>
                    <w:t>Post QR code or share link at point of care</w:t>
                  </w:r>
                </w:p>
              </w:tc>
            </w:tr>
          </w:tbl>
          <w:p/>
          <w:p>
            <w:pPr>
              <w:spacing w:before="0" w:after="50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520"/>
              <w:gridCol w:w="2520"/>
            </w:tblGrid>
            <w:tr>
              <w:tc>
                <w:tcPr>
                  <w:tcW w:type="dxa" w:w="2520"/>
                  <w:tcW w:w="360" w:type="dxa"/>
                  <w:shd w:val="clear" w:color="auto" w:fill="8C1515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3</w:t>
                  </w:r>
                </w:p>
              </w:tc>
              <w:tc>
                <w:tcPr>
                  <w:tcW w:type="dxa" w:w="2520"/>
                  <w:tcW w:w="5849" w:type="dxa"/>
                  <w:tcMar>
                    <w:top w:w="40" w:type="dxa"/>
                    <w:bottom w:w="40" w:type="dxa"/>
                    <w:left w:w="140" w:type="dxa"/>
                    <w:right w:w="0" w:type="dxa"/>
                  </w:tcMar>
                  <w:shd w:val="clear" w:color="auto" w:fill="F9F6F2"/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8C1515"/>
                      <w:sz w:val="21"/>
                    </w:rPr>
                    <w:t xml:space="preserve">Patients complete surveys  </w:t>
                  </w:r>
                  <w:r>
                    <w:rPr>
                      <w:rFonts w:ascii="Arial" w:hAnsi="Arial"/>
                      <w:color w:val="666666"/>
                      <w:sz w:val="19"/>
                    </w:rPr>
                    <w:t>Baseline → 1, 3, 6, and 12 months</w:t>
                  </w:r>
                </w:p>
              </w:tc>
            </w:tr>
          </w:tbl>
          <w:p/>
          <w:p>
            <w:pPr>
              <w:spacing w:before="0" w:after="50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520"/>
              <w:gridCol w:w="2520"/>
            </w:tblGrid>
            <w:tr>
              <w:tc>
                <w:tcPr>
                  <w:tcW w:type="dxa" w:w="2520"/>
                  <w:tcW w:w="360" w:type="dxa"/>
                  <w:shd w:val="clear" w:color="auto" w:fill="8C1515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Arial" w:hAnsi="Arial"/>
                      <w:b/>
                      <w:color w:val="FFFFFF"/>
                      <w:sz w:val="20"/>
                    </w:rPr>
                    <w:t>4</w:t>
                  </w:r>
                </w:p>
              </w:tc>
              <w:tc>
                <w:tcPr>
                  <w:tcW w:type="dxa" w:w="2520"/>
                  <w:tcW w:w="5849" w:type="dxa"/>
                  <w:tcMar>
                    <w:top w:w="40" w:type="dxa"/>
                    <w:bottom w:w="40" w:type="dxa"/>
                    <w:left w:w="140" w:type="dxa"/>
                    <w:right w:w="0" w:type="dxa"/>
                  </w:tcMar>
                  <w:shd w:val="clear" w:color="auto" w:fill="F9F6F2"/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8C1515"/>
                      <w:sz w:val="21"/>
                    </w:rPr>
                    <w:t xml:space="preserve">View your outcomes  </w:t>
                  </w:r>
                  <w:r>
                    <w:rPr>
                      <w:rFonts w:ascii="Arial" w:hAnsi="Arial"/>
                      <w:color w:val="666666"/>
                      <w:sz w:val="19"/>
                    </w:rPr>
                    <w:t>Live provider dashboard updated in real time</w:t>
                  </w:r>
                </w:p>
              </w:tc>
            </w:tr>
          </w:tbl>
          <w:p/>
          <w:p>
            <w:pPr>
              <w:spacing w:before="0" w:after="50"/>
            </w:pPr>
          </w:p>
        </w:tc>
        <w:tc>
          <w:tcPr>
            <w:tcW w:type="dxa" w:w="5040"/>
            <w:tcW w:w="3831" w:type="dxa"/>
            <w:tcMar>
              <w:top w:w="0" w:type="dxa"/>
              <w:bottom w:w="0" w:type="dxa"/>
              <w:left w:w="240" w:type="dxa"/>
              <w:right w:w="0" w:type="dxa"/>
            </w:tcMar>
          </w:tcPr>
          <w:p>
            <w:pPr>
              <w:jc w:val="center"/>
              <w:spacing w:before="0" w:after="80"/>
            </w:pPr>
            <w:r>
              <w:rPr>
                <w:rFonts w:ascii="Arial" w:hAnsi="Arial"/>
                <w:b/>
                <w:color w:val="8C1515"/>
                <w:sz w:val="23"/>
              </w:rPr>
              <w:t>REGISTER YOUR SITE</w:t>
            </w:r>
          </w:p>
          <w:p>
            <w:pPr>
              <w:jc w:val="center"/>
              <w:spacing w:before="60" w:after="60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60"/>
            </w:pPr>
            <w:r>
              <w:rPr>
                <w:rFonts w:ascii="Arial" w:hAnsi="Arial"/>
                <w:b/>
                <w:color w:val="8C1515"/>
                <w:sz w:val="18"/>
              </w:rPr>
              <w:t>ITNMDatabase.surn.stanford.edu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040"/>
            </w:tblGrid>
            <w:tr>
              <w:tc>
                <w:tcPr>
                  <w:tcW w:type="dxa" w:w="5040"/>
                  <w:shd w:val="clear" w:color="auto" w:fill="FFF8E1"/>
                  <w:tcBorders>
                    <w:top w:val="single" w:sz="8" w:color="B26B00"/>
                    <w:left w:val="single" w:sz="8" w:color="B26B00"/>
                    <w:bottom w:val="single" w:sz="8" w:color="B26B00"/>
                    <w:right w:val="single" w:sz="8" w:color="B26B00"/>
                  </w:tcBorders>
                  <w:tcMar>
                    <w:top w:w="120" w:type="dxa"/>
                    <w:bottom w:w="120" w:type="dxa"/>
                    <w:left w:w="140" w:type="dxa"/>
                    <w:right w:w="140" w:type="dxa"/>
                  </w:tcMar>
                </w:tcPr>
                <w:p>
                  <w:pPr>
                    <w:spacing w:before="30" w:after="30"/>
                  </w:pPr>
                  <w:r>
                    <w:rPr>
                      <w:rFonts w:ascii="Arial" w:hAnsi="Arial"/>
                      <w:b/>
                      <w:color w:val="B26B00"/>
                      <w:sz w:val="20"/>
                    </w:rPr>
                    <w:t xml:space="preserve">✓  </w:t>
                  </w:r>
                  <w:r>
                    <w:rPr>
                      <w:rFonts w:ascii="Arial" w:hAnsi="Arial"/>
                      <w:color w:val="333333"/>
                      <w:sz w:val="20"/>
                    </w:rPr>
                    <w:t>IRB-approved, multi-center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hAnsi="Arial"/>
                      <w:b/>
                      <w:color w:val="B26B00"/>
                      <w:sz w:val="20"/>
                    </w:rPr>
                    <w:t xml:space="preserve">✓  </w:t>
                  </w:r>
                  <w:r>
                    <w:rPr>
                      <w:rFonts w:ascii="Arial" w:hAnsi="Arial"/>
                      <w:color w:val="333333"/>
                      <w:sz w:val="20"/>
                    </w:rPr>
                    <w:t>Open to all U.S. centers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hAnsi="Arial"/>
                      <w:b/>
                      <w:color w:val="B26B00"/>
                      <w:sz w:val="20"/>
                    </w:rPr>
                    <w:t xml:space="preserve">✓  </w:t>
                  </w:r>
                  <w:r>
                    <w:rPr>
                      <w:rFonts w:ascii="Arial" w:hAnsi="Arial"/>
                      <w:color w:val="333333"/>
                      <w:sz w:val="20"/>
                    </w:rPr>
                    <w:t>Patient enrollment: Summer 2026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Arial" w:hAnsi="Arial"/>
                      <w:b/>
                      <w:color w:val="B26B00"/>
                      <w:sz w:val="20"/>
                    </w:rPr>
                    <w:t xml:space="preserve">✓  </w:t>
                  </w:r>
                  <w:r>
                    <w:rPr>
                      <w:rFonts w:ascii="Arial" w:hAnsi="Arial"/>
                      <w:color w:val="333333"/>
                      <w:sz w:val="20"/>
                    </w:rPr>
                    <w:t>$10 gift card per patient survey</w:t>
                  </w:r>
                </w:p>
              </w:tc>
            </w:tr>
          </w:tbl>
          <w:p/>
          <w:p>
            <w:pPr>
              <w:jc w:val="center"/>
              <w:spacing w:before="120" w:after="0"/>
            </w:pPr>
            <w:r>
              <w:rPr>
                <w:rFonts w:ascii="Arial" w:hAnsi="Arial"/>
                <w:color w:val="666666"/>
                <w:sz w:val="19"/>
              </w:rPr>
              <w:t>Questions?</w:t>
              <w:br/>
              <w:t>SUFUResearch@stanford.edu</w:t>
            </w:r>
          </w:p>
        </w:tc>
      </w:tr>
    </w:tbl>
    <w:p>
      <w:pPr>
        <w:spacing w:before="100" w:after="0"/>
      </w:pPr>
    </w:p>
    <w:p>
      <w:pPr>
        <w:spacing w:before="0" w:after="0"/>
        <w:pBdr>
          <w:bottom w:val="single" w:sz="8" w:color="8C1515"/>
        </w:pBdr>
      </w:pPr>
    </w:p>
    <w:p>
      <w:pPr>
        <w:jc w:val="center"/>
        <w:spacing w:before="80" w:after="0"/>
      </w:pPr>
      <w:r>
        <w:rPr>
          <w:rFonts w:ascii="Arial" w:hAnsi="Arial"/>
          <w:color w:val="666666"/>
          <w:sz w:val="17"/>
        </w:rPr>
        <w:t>SURN ITNM Registry  |  SUFUResearch@stanford.edu  |  ITNMDatabase.surn.stanford.edu</w:t>
      </w:r>
    </w:p>
    <w:p>
      <w:pPr>
        <w:jc w:val="center"/>
        <w:spacing w:before="30" w:after="0"/>
      </w:pPr>
      <w:r>
        <w:rPr>
          <w:rFonts w:ascii="Arial" w:hAnsi="Arial"/>
          <w:color w:val="999999"/>
          <w:sz w:val="16"/>
        </w:rPr>
        <w:t>Sponsored by the SUFU Research Network  ·  Stanford University School of Medicine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