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510F8">
      <w:pPr>
        <w:wordWrap w:val="0"/>
        <w:jc w:val="center"/>
        <w:outlineLvl w:val="9"/>
        <w:rPr>
          <w:rFonts w:hint="default"/>
          <w:lang w:val="en-US"/>
        </w:rPr>
      </w:pPr>
      <w:r>
        <w:rPr>
          <w:b/>
          <w:bCs/>
        </w:rPr>
        <w:t>目录</w:t>
      </w:r>
    </w:p>
    <w:p w14:paraId="51E48583">
      <w:pPr>
        <w:pStyle w:val="16"/>
        <w:tabs>
          <w:tab w:val="right" w:leader="dot" w:pos="9354"/>
        </w:tabs>
        <w:rPr>
          <w:b w:val="0"/>
          <w:bCs w:val="0"/>
        </w:rPr>
      </w:pPr>
      <w:r>
        <w:fldChar w:fldCharType="begin"/>
      </w:r>
      <w:r>
        <w:instrText xml:space="preserve">TOC \o "1-2" \h \u </w:instrText>
      </w:r>
      <w:r>
        <w:fldChar w:fldCharType="separate"/>
      </w:r>
      <w:r>
        <w:fldChar w:fldCharType="begin"/>
      </w:r>
      <w:r>
        <w:instrText xml:space="preserve"> HYPERLINK \l _Toc1870690116 </w:instrText>
      </w:r>
      <w:r>
        <w:fldChar w:fldCharType="separate"/>
      </w:r>
      <w:r>
        <w:rPr>
          <w:b w:val="0"/>
          <w:bCs w:val="0"/>
        </w:rPr>
        <w:t>1 绪论</w:t>
      </w:r>
      <w:r>
        <w:rPr>
          <w:b w:val="0"/>
          <w:bCs w:val="0"/>
        </w:rPr>
        <w:tab/>
      </w:r>
      <w:r>
        <w:fldChar w:fldCharType="begin"/>
      </w:r>
      <w:r>
        <w:instrText xml:space="preserve"> PAGEREF _Toc1870690116 \h </w:instrText>
      </w:r>
      <w:r>
        <w:fldChar w:fldCharType="separate"/>
      </w:r>
      <w:r>
        <w:rPr>
          <w:b w:val="0"/>
          <w:bCs w:val="0"/>
        </w:rPr>
        <w:t>1</w:t>
      </w:r>
      <w:r>
        <w:fldChar w:fldCharType="end"/>
      </w:r>
      <w:r>
        <w:fldChar w:fldCharType="end"/>
      </w:r>
    </w:p>
    <w:p w14:paraId="205A7789">
      <w:pPr>
        <w:pStyle w:val="17"/>
        <w:tabs>
          <w:tab w:val="right" w:leader="dot" w:pos="9354"/>
          <w:tab w:val="clear" w:pos="9344"/>
        </w:tabs>
        <w:rPr>
          <w:b w:val="0"/>
          <w:bCs w:val="0"/>
        </w:rPr>
      </w:pPr>
      <w:r>
        <w:fldChar w:fldCharType="begin"/>
      </w:r>
      <w:r>
        <w:instrText xml:space="preserve"> HYPERLINK \l _Toc1528187532 </w:instrText>
      </w:r>
      <w:r>
        <w:fldChar w:fldCharType="separate"/>
      </w:r>
      <w:r>
        <w:rPr>
          <w:b w:val="0"/>
          <w:bCs w:val="0"/>
        </w:rPr>
        <w:t>1.1 研究背景及意义</w:t>
      </w:r>
      <w:r>
        <w:rPr>
          <w:b w:val="0"/>
          <w:bCs w:val="0"/>
        </w:rPr>
        <w:tab/>
      </w:r>
      <w:r>
        <w:fldChar w:fldCharType="begin"/>
      </w:r>
      <w:r>
        <w:instrText xml:space="preserve"> PAGEREF _Toc1528187532 \h </w:instrText>
      </w:r>
      <w:r>
        <w:fldChar w:fldCharType="separate"/>
      </w:r>
      <w:r>
        <w:rPr>
          <w:b w:val="0"/>
          <w:bCs w:val="0"/>
        </w:rPr>
        <w:t>1</w:t>
      </w:r>
      <w:r>
        <w:fldChar w:fldCharType="end"/>
      </w:r>
      <w:r>
        <w:fldChar w:fldCharType="end"/>
      </w:r>
    </w:p>
    <w:p w14:paraId="4FB2281D">
      <w:pPr>
        <w:pStyle w:val="17"/>
        <w:tabs>
          <w:tab w:val="right" w:leader="dot" w:pos="9354"/>
          <w:tab w:val="clear" w:pos="9344"/>
        </w:tabs>
        <w:rPr>
          <w:b w:val="0"/>
          <w:bCs w:val="0"/>
        </w:rPr>
      </w:pPr>
      <w:r>
        <w:fldChar w:fldCharType="begin"/>
      </w:r>
      <w:r>
        <w:instrText xml:space="preserve"> HYPERLINK \l _Toc343432204 </w:instrText>
      </w:r>
      <w:r>
        <w:fldChar w:fldCharType="separate"/>
      </w:r>
      <w:r>
        <w:rPr>
          <w:b w:val="0"/>
          <w:bCs w:val="0"/>
        </w:rPr>
        <w:t>1.2 国内外研究动态</w:t>
      </w:r>
      <w:r>
        <w:rPr>
          <w:b w:val="0"/>
          <w:bCs w:val="0"/>
        </w:rPr>
        <w:tab/>
      </w:r>
      <w:r>
        <w:fldChar w:fldCharType="begin"/>
      </w:r>
      <w:r>
        <w:instrText xml:space="preserve"> PAGEREF _Toc343432204 \h </w:instrText>
      </w:r>
      <w:r>
        <w:fldChar w:fldCharType="separate"/>
      </w:r>
      <w:r>
        <w:rPr>
          <w:b w:val="0"/>
          <w:bCs w:val="0"/>
        </w:rPr>
        <w:t>2</w:t>
      </w:r>
      <w:r>
        <w:fldChar w:fldCharType="end"/>
      </w:r>
      <w:r>
        <w:fldChar w:fldCharType="end"/>
      </w:r>
    </w:p>
    <w:p w14:paraId="0D91EB96">
      <w:pPr>
        <w:pStyle w:val="17"/>
        <w:tabs>
          <w:tab w:val="right" w:leader="dot" w:pos="9354"/>
          <w:tab w:val="clear" w:pos="9344"/>
        </w:tabs>
        <w:rPr>
          <w:b w:val="0"/>
          <w:bCs w:val="0"/>
        </w:rPr>
      </w:pPr>
      <w:r>
        <w:fldChar w:fldCharType="begin"/>
      </w:r>
      <w:r>
        <w:instrText xml:space="preserve"> HYPERLINK \l _Toc1776493139 </w:instrText>
      </w:r>
      <w:r>
        <w:fldChar w:fldCharType="separate"/>
      </w:r>
      <w:r>
        <w:rPr>
          <w:b w:val="0"/>
          <w:bCs w:val="0"/>
        </w:rPr>
        <w:t>1.3 研究内容</w:t>
      </w:r>
      <w:r>
        <w:rPr>
          <w:b w:val="0"/>
          <w:bCs w:val="0"/>
        </w:rPr>
        <w:tab/>
      </w:r>
      <w:r>
        <w:fldChar w:fldCharType="begin"/>
      </w:r>
      <w:r>
        <w:instrText xml:space="preserve"> PAGEREF _Toc1776493139 \h </w:instrText>
      </w:r>
      <w:r>
        <w:fldChar w:fldCharType="separate"/>
      </w:r>
      <w:r>
        <w:rPr>
          <w:b w:val="0"/>
          <w:bCs w:val="0"/>
        </w:rPr>
        <w:t>2</w:t>
      </w:r>
      <w:r>
        <w:fldChar w:fldCharType="end"/>
      </w:r>
      <w:r>
        <w:fldChar w:fldCharType="end"/>
      </w:r>
    </w:p>
    <w:p w14:paraId="2E85844C">
      <w:pPr>
        <w:pStyle w:val="16"/>
        <w:tabs>
          <w:tab w:val="right" w:leader="dot" w:pos="9354"/>
        </w:tabs>
        <w:rPr>
          <w:b w:val="0"/>
          <w:bCs w:val="0"/>
        </w:rPr>
      </w:pPr>
      <w:r>
        <w:fldChar w:fldCharType="begin"/>
      </w:r>
      <w:r>
        <w:instrText xml:space="preserve"> HYPERLINK \l _Toc1055042932 </w:instrText>
      </w:r>
      <w:r>
        <w:fldChar w:fldCharType="separate"/>
      </w:r>
      <w:r>
        <w:rPr>
          <w:b w:val="0"/>
          <w:bCs w:val="0"/>
        </w:rPr>
        <w:t>2 系统关键技术</w:t>
      </w:r>
      <w:r>
        <w:rPr>
          <w:b w:val="0"/>
          <w:bCs w:val="0"/>
        </w:rPr>
        <w:tab/>
      </w:r>
      <w:r>
        <w:fldChar w:fldCharType="begin"/>
      </w:r>
      <w:r>
        <w:instrText xml:space="preserve"> PAGEREF _Toc1055042932 \h </w:instrText>
      </w:r>
      <w:r>
        <w:fldChar w:fldCharType="separate"/>
      </w:r>
      <w:r>
        <w:rPr>
          <w:b w:val="0"/>
          <w:bCs w:val="0"/>
        </w:rPr>
        <w:t>3</w:t>
      </w:r>
      <w:r>
        <w:fldChar w:fldCharType="end"/>
      </w:r>
      <w:r>
        <w:fldChar w:fldCharType="end"/>
      </w:r>
    </w:p>
    <w:p w14:paraId="540B72F7">
      <w:pPr>
        <w:pStyle w:val="17"/>
        <w:tabs>
          <w:tab w:val="right" w:leader="dot" w:pos="9354"/>
          <w:tab w:val="clear" w:pos="9344"/>
        </w:tabs>
        <w:rPr>
          <w:b w:val="0"/>
          <w:bCs w:val="0"/>
        </w:rPr>
      </w:pPr>
      <w:r>
        <w:fldChar w:fldCharType="begin"/>
      </w:r>
      <w:r>
        <w:instrText xml:space="preserve"> HYPERLINK \l _Toc334084845 </w:instrText>
      </w:r>
      <w:r>
        <w:fldChar w:fldCharType="separate"/>
      </w:r>
      <w:r>
        <w:rPr>
          <w:b w:val="0"/>
          <w:bCs w:val="0"/>
        </w:rPr>
        <w:t>2.1 系统开发环境</w:t>
      </w:r>
      <w:r>
        <w:rPr>
          <w:b w:val="0"/>
          <w:bCs w:val="0"/>
        </w:rPr>
        <w:tab/>
      </w:r>
      <w:r>
        <w:fldChar w:fldCharType="begin"/>
      </w:r>
      <w:r>
        <w:instrText xml:space="preserve"> PAGEREF _Toc334084845 \h </w:instrText>
      </w:r>
      <w:r>
        <w:fldChar w:fldCharType="separate"/>
      </w:r>
      <w:r>
        <w:rPr>
          <w:b w:val="0"/>
          <w:bCs w:val="0"/>
        </w:rPr>
        <w:t>3</w:t>
      </w:r>
      <w:r>
        <w:fldChar w:fldCharType="end"/>
      </w:r>
      <w:r>
        <w:fldChar w:fldCharType="end"/>
      </w:r>
    </w:p>
    <w:p w14:paraId="6EBFA9ED">
      <w:pPr>
        <w:pStyle w:val="17"/>
        <w:tabs>
          <w:tab w:val="right" w:leader="dot" w:pos="9354"/>
          <w:tab w:val="clear" w:pos="9344"/>
        </w:tabs>
        <w:rPr>
          <w:b w:val="0"/>
          <w:bCs w:val="0"/>
        </w:rPr>
      </w:pPr>
      <w:r>
        <w:fldChar w:fldCharType="begin"/>
      </w:r>
      <w:r>
        <w:instrText xml:space="preserve"> HYPERLINK \l _Toc1441736657 </w:instrText>
      </w:r>
      <w:r>
        <w:fldChar w:fldCharType="separate"/>
      </w:r>
      <w:r>
        <w:rPr>
          <w:b w:val="0"/>
          <w:bCs w:val="0"/>
        </w:rPr>
        <w:t>2.2 系统技术栈说明</w:t>
      </w:r>
      <w:r>
        <w:rPr>
          <w:b w:val="0"/>
          <w:bCs w:val="0"/>
        </w:rPr>
        <w:tab/>
      </w:r>
      <w:r>
        <w:fldChar w:fldCharType="begin"/>
      </w:r>
      <w:r>
        <w:instrText xml:space="preserve"> PAGEREF _Toc1441736657 \h </w:instrText>
      </w:r>
      <w:r>
        <w:fldChar w:fldCharType="separate"/>
      </w:r>
      <w:r>
        <w:rPr>
          <w:b w:val="0"/>
          <w:bCs w:val="0"/>
        </w:rPr>
        <w:t>4</w:t>
      </w:r>
      <w:r>
        <w:fldChar w:fldCharType="end"/>
      </w:r>
      <w:r>
        <w:fldChar w:fldCharType="end"/>
      </w:r>
    </w:p>
    <w:p w14:paraId="12B88422">
      <w:pPr>
        <w:pStyle w:val="16"/>
        <w:tabs>
          <w:tab w:val="right" w:leader="dot" w:pos="9354"/>
        </w:tabs>
        <w:rPr>
          <w:b w:val="0"/>
          <w:bCs w:val="0"/>
        </w:rPr>
      </w:pPr>
      <w:r>
        <w:fldChar w:fldCharType="begin"/>
      </w:r>
      <w:r>
        <w:instrText xml:space="preserve"> HYPERLINK \l _Toc1210005098 </w:instrText>
      </w:r>
      <w:r>
        <w:fldChar w:fldCharType="separate"/>
      </w:r>
      <w:r>
        <w:rPr>
          <w:b w:val="0"/>
          <w:bCs w:val="0"/>
        </w:rPr>
        <w:t>3 系统分析</w:t>
      </w:r>
      <w:r>
        <w:rPr>
          <w:b w:val="0"/>
          <w:bCs w:val="0"/>
        </w:rPr>
        <w:tab/>
      </w:r>
      <w:r>
        <w:fldChar w:fldCharType="begin"/>
      </w:r>
      <w:r>
        <w:instrText xml:space="preserve"> PAGEREF _Toc1210005098 \h </w:instrText>
      </w:r>
      <w:r>
        <w:fldChar w:fldCharType="separate"/>
      </w:r>
      <w:r>
        <w:rPr>
          <w:b w:val="0"/>
          <w:bCs w:val="0"/>
        </w:rPr>
        <w:t>8</w:t>
      </w:r>
      <w:r>
        <w:fldChar w:fldCharType="end"/>
      </w:r>
      <w:r>
        <w:fldChar w:fldCharType="end"/>
      </w:r>
    </w:p>
    <w:p w14:paraId="7CC1B48B">
      <w:pPr>
        <w:pStyle w:val="17"/>
        <w:tabs>
          <w:tab w:val="right" w:leader="dot" w:pos="9354"/>
          <w:tab w:val="clear" w:pos="9344"/>
        </w:tabs>
        <w:rPr>
          <w:b w:val="0"/>
          <w:bCs w:val="0"/>
        </w:rPr>
      </w:pPr>
      <w:r>
        <w:fldChar w:fldCharType="begin"/>
      </w:r>
      <w:r>
        <w:instrText xml:space="preserve"> HYPERLINK \l _Toc2033028643 </w:instrText>
      </w:r>
      <w:r>
        <w:fldChar w:fldCharType="separate"/>
      </w:r>
      <w:r>
        <w:rPr>
          <w:b w:val="0"/>
          <w:bCs w:val="0"/>
        </w:rPr>
        <w:t>3.1 系统可行性分析</w:t>
      </w:r>
      <w:r>
        <w:rPr>
          <w:b w:val="0"/>
          <w:bCs w:val="0"/>
        </w:rPr>
        <w:tab/>
      </w:r>
      <w:r>
        <w:fldChar w:fldCharType="begin"/>
      </w:r>
      <w:r>
        <w:instrText xml:space="preserve"> PAGEREF _Toc2033028643 \h </w:instrText>
      </w:r>
      <w:r>
        <w:fldChar w:fldCharType="separate"/>
      </w:r>
      <w:r>
        <w:rPr>
          <w:b w:val="0"/>
          <w:bCs w:val="0"/>
        </w:rPr>
        <w:t>8</w:t>
      </w:r>
      <w:r>
        <w:fldChar w:fldCharType="end"/>
      </w:r>
      <w:r>
        <w:fldChar w:fldCharType="end"/>
      </w:r>
    </w:p>
    <w:p w14:paraId="7EB90F65">
      <w:pPr>
        <w:pStyle w:val="17"/>
        <w:tabs>
          <w:tab w:val="right" w:leader="dot" w:pos="9354"/>
          <w:tab w:val="clear" w:pos="9344"/>
        </w:tabs>
        <w:rPr>
          <w:b w:val="0"/>
          <w:bCs w:val="0"/>
        </w:rPr>
      </w:pPr>
      <w:r>
        <w:fldChar w:fldCharType="begin"/>
      </w:r>
      <w:r>
        <w:instrText xml:space="preserve"> HYPERLINK \l _Toc500095484 </w:instrText>
      </w:r>
      <w:r>
        <w:fldChar w:fldCharType="separate"/>
      </w:r>
      <w:r>
        <w:rPr>
          <w:b w:val="0"/>
          <w:bCs w:val="0"/>
        </w:rPr>
        <w:t>3.2 系统用户及需求分析</w:t>
      </w:r>
      <w:r>
        <w:rPr>
          <w:b w:val="0"/>
          <w:bCs w:val="0"/>
        </w:rPr>
        <w:tab/>
      </w:r>
      <w:r>
        <w:fldChar w:fldCharType="begin"/>
      </w:r>
      <w:r>
        <w:instrText xml:space="preserve"> PAGEREF _Toc500095484 \h </w:instrText>
      </w:r>
      <w:r>
        <w:fldChar w:fldCharType="separate"/>
      </w:r>
      <w:r>
        <w:rPr>
          <w:b w:val="0"/>
          <w:bCs w:val="0"/>
        </w:rPr>
        <w:t>9</w:t>
      </w:r>
      <w:r>
        <w:fldChar w:fldCharType="end"/>
      </w:r>
      <w:r>
        <w:fldChar w:fldCharType="end"/>
      </w:r>
    </w:p>
    <w:p w14:paraId="70181139">
      <w:pPr>
        <w:pStyle w:val="17"/>
        <w:tabs>
          <w:tab w:val="right" w:leader="dot" w:pos="9354"/>
          <w:tab w:val="clear" w:pos="9344"/>
        </w:tabs>
        <w:rPr>
          <w:b w:val="0"/>
          <w:bCs w:val="0"/>
        </w:rPr>
      </w:pPr>
      <w:r>
        <w:fldChar w:fldCharType="begin"/>
      </w:r>
      <w:r>
        <w:instrText xml:space="preserve"> HYPERLINK \l _Toc2001288877 </w:instrText>
      </w:r>
      <w:r>
        <w:fldChar w:fldCharType="separate"/>
      </w:r>
      <w:r>
        <w:rPr>
          <w:b w:val="0"/>
          <w:bCs w:val="0"/>
        </w:rPr>
        <w:t>3.3 非功能需求分析</w:t>
      </w:r>
      <w:r>
        <w:rPr>
          <w:b w:val="0"/>
          <w:bCs w:val="0"/>
        </w:rPr>
        <w:tab/>
      </w:r>
      <w:r>
        <w:fldChar w:fldCharType="begin"/>
      </w:r>
      <w:r>
        <w:instrText xml:space="preserve"> PAGEREF _Toc2001288877 \h </w:instrText>
      </w:r>
      <w:r>
        <w:fldChar w:fldCharType="separate"/>
      </w:r>
      <w:r>
        <w:rPr>
          <w:b w:val="0"/>
          <w:bCs w:val="0"/>
        </w:rPr>
        <w:t>17</w:t>
      </w:r>
      <w:r>
        <w:fldChar w:fldCharType="end"/>
      </w:r>
      <w:r>
        <w:fldChar w:fldCharType="end"/>
      </w:r>
    </w:p>
    <w:p w14:paraId="32189C0E">
      <w:pPr>
        <w:pStyle w:val="16"/>
        <w:tabs>
          <w:tab w:val="right" w:leader="dot" w:pos="9354"/>
        </w:tabs>
        <w:rPr>
          <w:b w:val="0"/>
          <w:bCs w:val="0"/>
        </w:rPr>
      </w:pPr>
      <w:r>
        <w:fldChar w:fldCharType="begin"/>
      </w:r>
      <w:r>
        <w:instrText xml:space="preserve"> HYPERLINK \l _Toc1773276425 </w:instrText>
      </w:r>
      <w:r>
        <w:fldChar w:fldCharType="separate"/>
      </w:r>
      <w:r>
        <w:rPr>
          <w:b w:val="0"/>
          <w:bCs w:val="0"/>
        </w:rPr>
        <w:t>4 系统设计</w:t>
      </w:r>
      <w:r>
        <w:rPr>
          <w:b w:val="0"/>
          <w:bCs w:val="0"/>
        </w:rPr>
        <w:tab/>
      </w:r>
      <w:r>
        <w:fldChar w:fldCharType="begin"/>
      </w:r>
      <w:r>
        <w:instrText xml:space="preserve"> PAGEREF _Toc1773276425 \h </w:instrText>
      </w:r>
      <w:r>
        <w:fldChar w:fldCharType="separate"/>
      </w:r>
      <w:r>
        <w:rPr>
          <w:b w:val="0"/>
          <w:bCs w:val="0"/>
        </w:rPr>
        <w:t>18</w:t>
      </w:r>
      <w:r>
        <w:fldChar w:fldCharType="end"/>
      </w:r>
      <w:r>
        <w:fldChar w:fldCharType="end"/>
      </w:r>
    </w:p>
    <w:p w14:paraId="6DB3A623">
      <w:pPr>
        <w:pStyle w:val="17"/>
        <w:tabs>
          <w:tab w:val="right" w:leader="dot" w:pos="9354"/>
          <w:tab w:val="clear" w:pos="9344"/>
        </w:tabs>
        <w:rPr>
          <w:b w:val="0"/>
          <w:bCs w:val="0"/>
        </w:rPr>
      </w:pPr>
      <w:r>
        <w:fldChar w:fldCharType="begin"/>
      </w:r>
      <w:r>
        <w:instrText xml:space="preserve"> HYPERLINK \l _Toc678821909 </w:instrText>
      </w:r>
      <w:r>
        <w:fldChar w:fldCharType="separate"/>
      </w:r>
      <w:r>
        <w:rPr>
          <w:b w:val="0"/>
          <w:bCs w:val="0"/>
        </w:rPr>
        <w:t>4.1 系统设计目标与原则</w:t>
      </w:r>
      <w:r>
        <w:rPr>
          <w:b w:val="0"/>
          <w:bCs w:val="0"/>
        </w:rPr>
        <w:tab/>
      </w:r>
      <w:r>
        <w:fldChar w:fldCharType="begin"/>
      </w:r>
      <w:r>
        <w:instrText xml:space="preserve"> PAGEREF _Toc678821909 \h </w:instrText>
      </w:r>
      <w:r>
        <w:fldChar w:fldCharType="separate"/>
      </w:r>
      <w:r>
        <w:rPr>
          <w:b w:val="0"/>
          <w:bCs w:val="0"/>
        </w:rPr>
        <w:t>18</w:t>
      </w:r>
      <w:r>
        <w:fldChar w:fldCharType="end"/>
      </w:r>
      <w:r>
        <w:fldChar w:fldCharType="end"/>
      </w:r>
    </w:p>
    <w:p w14:paraId="7B8C63E6">
      <w:pPr>
        <w:pStyle w:val="17"/>
        <w:tabs>
          <w:tab w:val="right" w:leader="dot" w:pos="9354"/>
          <w:tab w:val="clear" w:pos="9344"/>
        </w:tabs>
        <w:rPr>
          <w:b w:val="0"/>
          <w:bCs w:val="0"/>
        </w:rPr>
      </w:pPr>
      <w:r>
        <w:fldChar w:fldCharType="begin"/>
      </w:r>
      <w:r>
        <w:instrText xml:space="preserve"> HYPERLINK \l _Toc1526691699 </w:instrText>
      </w:r>
      <w:r>
        <w:fldChar w:fldCharType="separate"/>
      </w:r>
      <w:r>
        <w:rPr>
          <w:b w:val="0"/>
          <w:bCs w:val="0"/>
        </w:rPr>
        <w:t>4.2 系统架构设计</w:t>
      </w:r>
      <w:r>
        <w:rPr>
          <w:b w:val="0"/>
          <w:bCs w:val="0"/>
        </w:rPr>
        <w:tab/>
      </w:r>
      <w:r>
        <w:fldChar w:fldCharType="begin"/>
      </w:r>
      <w:r>
        <w:instrText xml:space="preserve"> PAGEREF _Toc1526691699 \h </w:instrText>
      </w:r>
      <w:r>
        <w:fldChar w:fldCharType="separate"/>
      </w:r>
      <w:r>
        <w:rPr>
          <w:b w:val="0"/>
          <w:bCs w:val="0"/>
        </w:rPr>
        <w:t>19</w:t>
      </w:r>
      <w:r>
        <w:fldChar w:fldCharType="end"/>
      </w:r>
      <w:r>
        <w:fldChar w:fldCharType="end"/>
      </w:r>
    </w:p>
    <w:p w14:paraId="5547D331">
      <w:pPr>
        <w:pStyle w:val="17"/>
        <w:tabs>
          <w:tab w:val="right" w:leader="dot" w:pos="9354"/>
          <w:tab w:val="clear" w:pos="9344"/>
        </w:tabs>
        <w:rPr>
          <w:b w:val="0"/>
          <w:bCs w:val="0"/>
        </w:rPr>
      </w:pPr>
      <w:r>
        <w:fldChar w:fldCharType="begin"/>
      </w:r>
      <w:r>
        <w:instrText xml:space="preserve"> HYPERLINK \l _Toc972770737 </w:instrText>
      </w:r>
      <w:r>
        <w:fldChar w:fldCharType="separate"/>
      </w:r>
      <w:r>
        <w:rPr>
          <w:b w:val="0"/>
          <w:bCs w:val="0"/>
        </w:rPr>
        <w:t>4.3 系统功能结构设计</w:t>
      </w:r>
      <w:r>
        <w:rPr>
          <w:b w:val="0"/>
          <w:bCs w:val="0"/>
        </w:rPr>
        <w:tab/>
      </w:r>
      <w:r>
        <w:fldChar w:fldCharType="begin"/>
      </w:r>
      <w:r>
        <w:instrText xml:space="preserve"> PAGEREF _Toc972770737 \h </w:instrText>
      </w:r>
      <w:r>
        <w:fldChar w:fldCharType="separate"/>
      </w:r>
      <w:r>
        <w:rPr>
          <w:b w:val="0"/>
          <w:bCs w:val="0"/>
        </w:rPr>
        <w:t>21</w:t>
      </w:r>
      <w:r>
        <w:fldChar w:fldCharType="end"/>
      </w:r>
      <w:r>
        <w:fldChar w:fldCharType="end"/>
      </w:r>
    </w:p>
    <w:p w14:paraId="10BDD630">
      <w:pPr>
        <w:pStyle w:val="17"/>
        <w:tabs>
          <w:tab w:val="right" w:leader="dot" w:pos="9354"/>
          <w:tab w:val="clear" w:pos="9344"/>
        </w:tabs>
        <w:rPr>
          <w:b w:val="0"/>
          <w:bCs w:val="0"/>
        </w:rPr>
      </w:pPr>
      <w:r>
        <w:fldChar w:fldCharType="begin"/>
      </w:r>
      <w:r>
        <w:instrText xml:space="preserve"> HYPERLINK \l _Toc564772148 </w:instrText>
      </w:r>
      <w:r>
        <w:fldChar w:fldCharType="separate"/>
      </w:r>
      <w:r>
        <w:rPr>
          <w:b w:val="0"/>
          <w:bCs w:val="0"/>
        </w:rPr>
        <w:t>4.4 数据库设计</w:t>
      </w:r>
      <w:r>
        <w:rPr>
          <w:b w:val="0"/>
          <w:bCs w:val="0"/>
        </w:rPr>
        <w:tab/>
      </w:r>
      <w:r>
        <w:fldChar w:fldCharType="begin"/>
      </w:r>
      <w:r>
        <w:instrText xml:space="preserve"> PAGEREF _Toc564772148 \h </w:instrText>
      </w:r>
      <w:r>
        <w:fldChar w:fldCharType="separate"/>
      </w:r>
      <w:r>
        <w:rPr>
          <w:b w:val="0"/>
          <w:bCs w:val="0"/>
        </w:rPr>
        <w:t>22</w:t>
      </w:r>
      <w:r>
        <w:fldChar w:fldCharType="end"/>
      </w:r>
      <w:r>
        <w:fldChar w:fldCharType="end"/>
      </w:r>
    </w:p>
    <w:p w14:paraId="5540014E">
      <w:pPr>
        <w:pStyle w:val="17"/>
        <w:tabs>
          <w:tab w:val="right" w:leader="dot" w:pos="9354"/>
          <w:tab w:val="clear" w:pos="9344"/>
        </w:tabs>
        <w:rPr>
          <w:b w:val="0"/>
          <w:bCs w:val="0"/>
        </w:rPr>
      </w:pPr>
      <w:r>
        <w:fldChar w:fldCharType="begin"/>
      </w:r>
      <w:r>
        <w:instrText xml:space="preserve"> HYPERLINK \l _Toc247771696 </w:instrText>
      </w:r>
      <w:r>
        <w:fldChar w:fldCharType="separate"/>
      </w:r>
      <w:r>
        <w:rPr>
          <w:b w:val="0"/>
          <w:bCs w:val="0"/>
        </w:rPr>
        <w:t>4.5 系统功能设计</w:t>
      </w:r>
      <w:r>
        <w:rPr>
          <w:b w:val="0"/>
          <w:bCs w:val="0"/>
        </w:rPr>
        <w:tab/>
      </w:r>
      <w:r>
        <w:fldChar w:fldCharType="begin"/>
      </w:r>
      <w:r>
        <w:instrText xml:space="preserve"> PAGEREF _Toc247771696 \h </w:instrText>
      </w:r>
      <w:r>
        <w:fldChar w:fldCharType="separate"/>
      </w:r>
      <w:r>
        <w:rPr>
          <w:b w:val="0"/>
          <w:bCs w:val="0"/>
        </w:rPr>
        <w:t>33</w:t>
      </w:r>
      <w:r>
        <w:fldChar w:fldCharType="end"/>
      </w:r>
      <w:r>
        <w:fldChar w:fldCharType="end"/>
      </w:r>
    </w:p>
    <w:p w14:paraId="4FFA9A01">
      <w:pPr>
        <w:pStyle w:val="16"/>
        <w:tabs>
          <w:tab w:val="right" w:leader="dot" w:pos="9354"/>
        </w:tabs>
        <w:rPr>
          <w:b w:val="0"/>
          <w:bCs w:val="0"/>
        </w:rPr>
      </w:pPr>
      <w:r>
        <w:fldChar w:fldCharType="begin"/>
      </w:r>
      <w:r>
        <w:instrText xml:space="preserve"> HYPERLINK \l _Toc328103139 </w:instrText>
      </w:r>
      <w:r>
        <w:fldChar w:fldCharType="separate"/>
      </w:r>
      <w:r>
        <w:rPr>
          <w:b w:val="0"/>
          <w:bCs w:val="0"/>
        </w:rPr>
        <w:t>5 系统实现</w:t>
      </w:r>
      <w:r>
        <w:rPr>
          <w:b w:val="0"/>
          <w:bCs w:val="0"/>
        </w:rPr>
        <w:tab/>
      </w:r>
      <w:r>
        <w:fldChar w:fldCharType="begin"/>
      </w:r>
      <w:r>
        <w:instrText xml:space="preserve"> PAGEREF _Toc328103139 \h </w:instrText>
      </w:r>
      <w:r>
        <w:fldChar w:fldCharType="separate"/>
      </w:r>
      <w:r>
        <w:rPr>
          <w:b w:val="0"/>
          <w:bCs w:val="0"/>
        </w:rPr>
        <w:t>39</w:t>
      </w:r>
      <w:r>
        <w:fldChar w:fldCharType="end"/>
      </w:r>
      <w:r>
        <w:fldChar w:fldCharType="end"/>
      </w:r>
    </w:p>
    <w:p w14:paraId="4D3C2AF4">
      <w:pPr>
        <w:pStyle w:val="17"/>
        <w:tabs>
          <w:tab w:val="right" w:leader="dot" w:pos="9354"/>
          <w:tab w:val="clear" w:pos="9344"/>
        </w:tabs>
        <w:rPr>
          <w:b w:val="0"/>
          <w:bCs w:val="0"/>
        </w:rPr>
      </w:pPr>
      <w:r>
        <w:fldChar w:fldCharType="begin"/>
      </w:r>
      <w:r>
        <w:instrText xml:space="preserve"> HYPERLINK \l _Toc1838935324 </w:instrText>
      </w:r>
      <w:r>
        <w:fldChar w:fldCharType="separate"/>
      </w:r>
      <w:r>
        <w:rPr>
          <w:b w:val="0"/>
          <w:bCs w:val="0"/>
        </w:rPr>
        <w:t>5.1 用户与权限管理模块实现</w:t>
      </w:r>
      <w:r>
        <w:rPr>
          <w:b w:val="0"/>
          <w:bCs w:val="0"/>
        </w:rPr>
        <w:tab/>
      </w:r>
      <w:r>
        <w:fldChar w:fldCharType="begin"/>
      </w:r>
      <w:r>
        <w:instrText xml:space="preserve"> PAGEREF _Toc1838935324 \h </w:instrText>
      </w:r>
      <w:r>
        <w:fldChar w:fldCharType="separate"/>
      </w:r>
      <w:r>
        <w:rPr>
          <w:b w:val="0"/>
          <w:bCs w:val="0"/>
        </w:rPr>
        <w:t>39</w:t>
      </w:r>
      <w:r>
        <w:fldChar w:fldCharType="end"/>
      </w:r>
      <w:r>
        <w:fldChar w:fldCharType="end"/>
      </w:r>
    </w:p>
    <w:p w14:paraId="3426E16A">
      <w:pPr>
        <w:pStyle w:val="17"/>
        <w:tabs>
          <w:tab w:val="right" w:leader="dot" w:pos="9354"/>
          <w:tab w:val="clear" w:pos="9344"/>
        </w:tabs>
        <w:rPr>
          <w:b w:val="0"/>
          <w:bCs w:val="0"/>
        </w:rPr>
      </w:pPr>
      <w:r>
        <w:fldChar w:fldCharType="begin"/>
      </w:r>
      <w:r>
        <w:instrText xml:space="preserve"> HYPERLINK \l _Toc401342844 </w:instrText>
      </w:r>
      <w:r>
        <w:fldChar w:fldCharType="separate"/>
      </w:r>
      <w:r>
        <w:rPr>
          <w:b w:val="0"/>
          <w:bCs w:val="0"/>
        </w:rPr>
        <w:t>5.2 基础数据管理模块实现</w:t>
      </w:r>
      <w:r>
        <w:rPr>
          <w:b w:val="0"/>
          <w:bCs w:val="0"/>
        </w:rPr>
        <w:tab/>
      </w:r>
      <w:r>
        <w:fldChar w:fldCharType="begin"/>
      </w:r>
      <w:r>
        <w:instrText xml:space="preserve"> PAGEREF _Toc401342844 \h </w:instrText>
      </w:r>
      <w:r>
        <w:fldChar w:fldCharType="separate"/>
      </w:r>
      <w:r>
        <w:rPr>
          <w:b w:val="0"/>
          <w:bCs w:val="0"/>
        </w:rPr>
        <w:t>39</w:t>
      </w:r>
      <w:r>
        <w:fldChar w:fldCharType="end"/>
      </w:r>
      <w:r>
        <w:fldChar w:fldCharType="end"/>
      </w:r>
    </w:p>
    <w:p w14:paraId="0E9BFCCA">
      <w:pPr>
        <w:pStyle w:val="17"/>
        <w:tabs>
          <w:tab w:val="right" w:leader="dot" w:pos="9354"/>
          <w:tab w:val="clear" w:pos="9344"/>
        </w:tabs>
        <w:rPr>
          <w:b w:val="0"/>
          <w:bCs w:val="0"/>
        </w:rPr>
      </w:pPr>
      <w:r>
        <w:fldChar w:fldCharType="begin"/>
      </w:r>
      <w:r>
        <w:instrText xml:space="preserve"> HYPERLINK \l _Toc123043881 </w:instrText>
      </w:r>
      <w:r>
        <w:fldChar w:fldCharType="separate"/>
      </w:r>
      <w:r>
        <w:rPr>
          <w:b w:val="0"/>
          <w:bCs w:val="0"/>
        </w:rPr>
        <w:t>5.3 订单协同模块实现</w:t>
      </w:r>
      <w:r>
        <w:rPr>
          <w:b w:val="0"/>
          <w:bCs w:val="0"/>
        </w:rPr>
        <w:tab/>
      </w:r>
      <w:r>
        <w:fldChar w:fldCharType="begin"/>
      </w:r>
      <w:r>
        <w:instrText xml:space="preserve"> PAGEREF _Toc123043881 \h </w:instrText>
      </w:r>
      <w:r>
        <w:fldChar w:fldCharType="separate"/>
      </w:r>
      <w:r>
        <w:rPr>
          <w:b w:val="0"/>
          <w:bCs w:val="0"/>
        </w:rPr>
        <w:t>40</w:t>
      </w:r>
      <w:r>
        <w:fldChar w:fldCharType="end"/>
      </w:r>
      <w:r>
        <w:fldChar w:fldCharType="end"/>
      </w:r>
    </w:p>
    <w:p w14:paraId="0F2C6BC1">
      <w:pPr>
        <w:pStyle w:val="17"/>
        <w:tabs>
          <w:tab w:val="right" w:leader="dot" w:pos="9354"/>
          <w:tab w:val="clear" w:pos="9344"/>
        </w:tabs>
        <w:rPr>
          <w:b w:val="0"/>
          <w:bCs w:val="0"/>
        </w:rPr>
      </w:pPr>
      <w:r>
        <w:fldChar w:fldCharType="begin"/>
      </w:r>
      <w:r>
        <w:instrText xml:space="preserve"> HYPERLINK \l _Toc2119239553 </w:instrText>
      </w:r>
      <w:r>
        <w:fldChar w:fldCharType="separate"/>
      </w:r>
      <w:r>
        <w:rPr>
          <w:b w:val="0"/>
          <w:bCs w:val="0"/>
        </w:rPr>
        <w:t>5.4 入库管理模块实现</w:t>
      </w:r>
      <w:r>
        <w:rPr>
          <w:b w:val="0"/>
          <w:bCs w:val="0"/>
        </w:rPr>
        <w:tab/>
      </w:r>
      <w:r>
        <w:fldChar w:fldCharType="begin"/>
      </w:r>
      <w:r>
        <w:instrText xml:space="preserve"> PAGEREF _Toc2119239553 \h </w:instrText>
      </w:r>
      <w:r>
        <w:fldChar w:fldCharType="separate"/>
      </w:r>
      <w:r>
        <w:rPr>
          <w:b w:val="0"/>
          <w:bCs w:val="0"/>
        </w:rPr>
        <w:t>40</w:t>
      </w:r>
      <w:r>
        <w:fldChar w:fldCharType="end"/>
      </w:r>
      <w:r>
        <w:fldChar w:fldCharType="end"/>
      </w:r>
    </w:p>
    <w:p w14:paraId="536E3888">
      <w:pPr>
        <w:pStyle w:val="17"/>
        <w:tabs>
          <w:tab w:val="right" w:leader="dot" w:pos="9354"/>
          <w:tab w:val="clear" w:pos="9344"/>
        </w:tabs>
        <w:rPr>
          <w:b w:val="0"/>
          <w:bCs w:val="0"/>
        </w:rPr>
      </w:pPr>
      <w:r>
        <w:fldChar w:fldCharType="begin"/>
      </w:r>
      <w:r>
        <w:instrText xml:space="preserve"> HYPERLINK \l _Toc2042881776 </w:instrText>
      </w:r>
      <w:r>
        <w:fldChar w:fldCharType="separate"/>
      </w:r>
      <w:r>
        <w:rPr>
          <w:b w:val="0"/>
          <w:bCs w:val="0"/>
        </w:rPr>
        <w:t>5.5 出库管理模块实现</w:t>
      </w:r>
      <w:r>
        <w:rPr>
          <w:b w:val="0"/>
          <w:bCs w:val="0"/>
        </w:rPr>
        <w:tab/>
      </w:r>
      <w:r>
        <w:fldChar w:fldCharType="begin"/>
      </w:r>
      <w:r>
        <w:instrText xml:space="preserve"> PAGEREF _Toc2042881776 \h </w:instrText>
      </w:r>
      <w:r>
        <w:fldChar w:fldCharType="separate"/>
      </w:r>
      <w:r>
        <w:rPr>
          <w:b w:val="0"/>
          <w:bCs w:val="0"/>
        </w:rPr>
        <w:t>41</w:t>
      </w:r>
      <w:r>
        <w:fldChar w:fldCharType="end"/>
      </w:r>
      <w:r>
        <w:fldChar w:fldCharType="end"/>
      </w:r>
    </w:p>
    <w:p w14:paraId="1C4A0D2A">
      <w:pPr>
        <w:pStyle w:val="17"/>
        <w:tabs>
          <w:tab w:val="right" w:leader="dot" w:pos="9354"/>
          <w:tab w:val="clear" w:pos="9344"/>
        </w:tabs>
        <w:rPr>
          <w:b w:val="0"/>
          <w:bCs w:val="0"/>
        </w:rPr>
      </w:pPr>
      <w:r>
        <w:fldChar w:fldCharType="begin"/>
      </w:r>
      <w:r>
        <w:instrText xml:space="preserve"> HYPERLINK \l _Toc745460996 </w:instrText>
      </w:r>
      <w:r>
        <w:fldChar w:fldCharType="separate"/>
      </w:r>
      <w:r>
        <w:rPr>
          <w:b w:val="0"/>
          <w:bCs w:val="0"/>
        </w:rPr>
        <w:t>5.6 库存审核与附件功能实现</w:t>
      </w:r>
      <w:r>
        <w:rPr>
          <w:b w:val="0"/>
          <w:bCs w:val="0"/>
        </w:rPr>
        <w:tab/>
      </w:r>
      <w:r>
        <w:fldChar w:fldCharType="begin"/>
      </w:r>
      <w:r>
        <w:instrText xml:space="preserve"> PAGEREF _Toc745460996 \h </w:instrText>
      </w:r>
      <w:r>
        <w:fldChar w:fldCharType="separate"/>
      </w:r>
      <w:r>
        <w:rPr>
          <w:b w:val="0"/>
          <w:bCs w:val="0"/>
        </w:rPr>
        <w:t>42</w:t>
      </w:r>
      <w:r>
        <w:fldChar w:fldCharType="end"/>
      </w:r>
      <w:r>
        <w:fldChar w:fldCharType="end"/>
      </w:r>
    </w:p>
    <w:p w14:paraId="569E3E3D">
      <w:pPr>
        <w:pStyle w:val="17"/>
        <w:tabs>
          <w:tab w:val="right" w:leader="dot" w:pos="9354"/>
          <w:tab w:val="clear" w:pos="9344"/>
        </w:tabs>
        <w:rPr>
          <w:b w:val="0"/>
          <w:bCs w:val="0"/>
        </w:rPr>
      </w:pPr>
      <w:r>
        <w:fldChar w:fldCharType="begin"/>
      </w:r>
      <w:r>
        <w:instrText xml:space="preserve"> HYPERLINK \l _Toc543363174 </w:instrText>
      </w:r>
      <w:r>
        <w:fldChar w:fldCharType="separate"/>
      </w:r>
      <w:r>
        <w:rPr>
          <w:b w:val="0"/>
          <w:bCs w:val="0"/>
        </w:rPr>
        <w:t>5.7 库存统计与报表功能实现</w:t>
      </w:r>
      <w:r>
        <w:rPr>
          <w:b w:val="0"/>
          <w:bCs w:val="0"/>
        </w:rPr>
        <w:tab/>
      </w:r>
      <w:r>
        <w:fldChar w:fldCharType="begin"/>
      </w:r>
      <w:r>
        <w:instrText xml:space="preserve"> PAGEREF _Toc543363174 \h </w:instrText>
      </w:r>
      <w:r>
        <w:fldChar w:fldCharType="separate"/>
      </w:r>
      <w:r>
        <w:rPr>
          <w:b w:val="0"/>
          <w:bCs w:val="0"/>
        </w:rPr>
        <w:t>42</w:t>
      </w:r>
      <w:r>
        <w:fldChar w:fldCharType="end"/>
      </w:r>
      <w:r>
        <w:fldChar w:fldCharType="end"/>
      </w:r>
    </w:p>
    <w:p w14:paraId="1DBDA5DF">
      <w:pPr>
        <w:pStyle w:val="17"/>
        <w:tabs>
          <w:tab w:val="right" w:leader="dot" w:pos="9354"/>
          <w:tab w:val="clear" w:pos="9344"/>
        </w:tabs>
        <w:rPr>
          <w:b w:val="0"/>
          <w:bCs w:val="0"/>
        </w:rPr>
      </w:pPr>
      <w:r>
        <w:fldChar w:fldCharType="begin"/>
      </w:r>
      <w:r>
        <w:instrText xml:space="preserve"> HYPERLINK \l _Toc1204398374 </w:instrText>
      </w:r>
      <w:r>
        <w:fldChar w:fldCharType="separate"/>
      </w:r>
      <w:r>
        <w:rPr>
          <w:b w:val="0"/>
          <w:bCs w:val="0"/>
        </w:rPr>
        <w:t>5.8 异步导出与WebSocket进度反馈实现</w:t>
      </w:r>
      <w:r>
        <w:rPr>
          <w:b w:val="0"/>
          <w:bCs w:val="0"/>
        </w:rPr>
        <w:tab/>
      </w:r>
      <w:r>
        <w:fldChar w:fldCharType="begin"/>
      </w:r>
      <w:r>
        <w:instrText xml:space="preserve"> PAGEREF _Toc1204398374 \h </w:instrText>
      </w:r>
      <w:r>
        <w:fldChar w:fldCharType="separate"/>
      </w:r>
      <w:r>
        <w:rPr>
          <w:b w:val="0"/>
          <w:bCs w:val="0"/>
        </w:rPr>
        <w:t>43</w:t>
      </w:r>
      <w:r>
        <w:fldChar w:fldCharType="end"/>
      </w:r>
      <w:r>
        <w:fldChar w:fldCharType="end"/>
      </w:r>
    </w:p>
    <w:p w14:paraId="437C7BEF">
      <w:pPr>
        <w:pStyle w:val="17"/>
        <w:tabs>
          <w:tab w:val="right" w:leader="dot" w:pos="9354"/>
          <w:tab w:val="clear" w:pos="9344"/>
        </w:tabs>
        <w:rPr>
          <w:b w:val="0"/>
          <w:bCs w:val="0"/>
        </w:rPr>
      </w:pPr>
      <w:r>
        <w:fldChar w:fldCharType="begin"/>
      </w:r>
      <w:r>
        <w:instrText xml:space="preserve"> HYPERLINK \l _Toc142615196 </w:instrText>
      </w:r>
      <w:r>
        <w:fldChar w:fldCharType="separate"/>
      </w:r>
      <w:r>
        <w:rPr>
          <w:b w:val="0"/>
          <w:bCs w:val="0"/>
        </w:rPr>
        <w:t>5.9 事件驱动联动与一致性实现</w:t>
      </w:r>
      <w:r>
        <w:rPr>
          <w:b w:val="0"/>
          <w:bCs w:val="0"/>
        </w:rPr>
        <w:tab/>
      </w:r>
      <w:r>
        <w:fldChar w:fldCharType="begin"/>
      </w:r>
      <w:r>
        <w:instrText xml:space="preserve"> PAGEREF _Toc142615196 \h </w:instrText>
      </w:r>
      <w:r>
        <w:fldChar w:fldCharType="separate"/>
      </w:r>
      <w:r>
        <w:rPr>
          <w:b w:val="0"/>
          <w:bCs w:val="0"/>
        </w:rPr>
        <w:t>44</w:t>
      </w:r>
      <w:r>
        <w:fldChar w:fldCharType="end"/>
      </w:r>
      <w:r>
        <w:fldChar w:fldCharType="end"/>
      </w:r>
    </w:p>
    <w:p w14:paraId="50BB0E86">
      <w:pPr>
        <w:pStyle w:val="17"/>
        <w:tabs>
          <w:tab w:val="right" w:leader="dot" w:pos="9354"/>
          <w:tab w:val="clear" w:pos="9344"/>
        </w:tabs>
        <w:rPr>
          <w:b w:val="0"/>
          <w:bCs w:val="0"/>
        </w:rPr>
      </w:pPr>
      <w:r>
        <w:fldChar w:fldCharType="begin"/>
      </w:r>
      <w:r>
        <w:instrText xml:space="preserve"> HYPERLINK \l _Toc341849120 </w:instrText>
      </w:r>
      <w:r>
        <w:fldChar w:fldCharType="separate"/>
      </w:r>
      <w:r>
        <w:rPr>
          <w:b w:val="0"/>
          <w:bCs w:val="0"/>
        </w:rPr>
        <w:t>5.10 系统实现效果小结</w:t>
      </w:r>
      <w:r>
        <w:rPr>
          <w:b w:val="0"/>
          <w:bCs w:val="0"/>
        </w:rPr>
        <w:tab/>
      </w:r>
      <w:r>
        <w:fldChar w:fldCharType="begin"/>
      </w:r>
      <w:r>
        <w:instrText xml:space="preserve"> PAGEREF _Toc341849120 \h </w:instrText>
      </w:r>
      <w:r>
        <w:fldChar w:fldCharType="separate"/>
      </w:r>
      <w:r>
        <w:rPr>
          <w:b w:val="0"/>
          <w:bCs w:val="0"/>
        </w:rPr>
        <w:t>44</w:t>
      </w:r>
      <w:r>
        <w:fldChar w:fldCharType="end"/>
      </w:r>
      <w:r>
        <w:fldChar w:fldCharType="end"/>
      </w:r>
    </w:p>
    <w:p w14:paraId="34A63114">
      <w:pPr>
        <w:pStyle w:val="16"/>
        <w:tabs>
          <w:tab w:val="right" w:leader="dot" w:pos="9354"/>
        </w:tabs>
        <w:rPr>
          <w:b w:val="0"/>
          <w:bCs w:val="0"/>
        </w:rPr>
      </w:pPr>
      <w:r>
        <w:fldChar w:fldCharType="begin"/>
      </w:r>
      <w:r>
        <w:instrText xml:space="preserve"> HYPERLINK \l _Toc939404115 </w:instrText>
      </w:r>
      <w:r>
        <w:fldChar w:fldCharType="separate"/>
      </w:r>
      <w:r>
        <w:rPr>
          <w:b w:val="0"/>
          <w:bCs w:val="0"/>
        </w:rPr>
        <w:t>6 系统测试</w:t>
      </w:r>
      <w:r>
        <w:rPr>
          <w:b w:val="0"/>
          <w:bCs w:val="0"/>
        </w:rPr>
        <w:tab/>
      </w:r>
      <w:r>
        <w:fldChar w:fldCharType="begin"/>
      </w:r>
      <w:r>
        <w:instrText xml:space="preserve"> PAGEREF _Toc939404115 \h </w:instrText>
      </w:r>
      <w:r>
        <w:fldChar w:fldCharType="separate"/>
      </w:r>
      <w:r>
        <w:rPr>
          <w:b w:val="0"/>
          <w:bCs w:val="0"/>
        </w:rPr>
        <w:t>44</w:t>
      </w:r>
      <w:r>
        <w:fldChar w:fldCharType="end"/>
      </w:r>
      <w:r>
        <w:fldChar w:fldCharType="end"/>
      </w:r>
    </w:p>
    <w:p w14:paraId="27C5281B">
      <w:pPr>
        <w:pStyle w:val="17"/>
        <w:tabs>
          <w:tab w:val="right" w:leader="dot" w:pos="9354"/>
          <w:tab w:val="clear" w:pos="9344"/>
        </w:tabs>
        <w:rPr>
          <w:b w:val="0"/>
          <w:bCs w:val="0"/>
        </w:rPr>
      </w:pPr>
      <w:r>
        <w:fldChar w:fldCharType="begin"/>
      </w:r>
      <w:r>
        <w:instrText xml:space="preserve"> HYPERLINK \l _Toc265188061 </w:instrText>
      </w:r>
      <w:r>
        <w:fldChar w:fldCharType="separate"/>
      </w:r>
      <w:r>
        <w:rPr>
          <w:b w:val="0"/>
          <w:bCs w:val="0"/>
        </w:rPr>
        <w:t>6.1 仓储业务功能测试</w:t>
      </w:r>
      <w:r>
        <w:rPr>
          <w:b w:val="0"/>
          <w:bCs w:val="0"/>
        </w:rPr>
        <w:tab/>
      </w:r>
      <w:r>
        <w:fldChar w:fldCharType="begin"/>
      </w:r>
      <w:r>
        <w:instrText xml:space="preserve"> PAGEREF _Toc265188061 \h </w:instrText>
      </w:r>
      <w:r>
        <w:fldChar w:fldCharType="separate"/>
      </w:r>
      <w:r>
        <w:rPr>
          <w:b w:val="0"/>
          <w:bCs w:val="0"/>
        </w:rPr>
        <w:t>44</w:t>
      </w:r>
      <w:r>
        <w:fldChar w:fldCharType="end"/>
      </w:r>
      <w:r>
        <w:fldChar w:fldCharType="end"/>
      </w:r>
    </w:p>
    <w:p w14:paraId="0DF43B67">
      <w:pPr>
        <w:pStyle w:val="17"/>
        <w:tabs>
          <w:tab w:val="right" w:leader="dot" w:pos="9354"/>
          <w:tab w:val="clear" w:pos="9344"/>
        </w:tabs>
        <w:rPr>
          <w:b w:val="0"/>
          <w:bCs w:val="0"/>
        </w:rPr>
      </w:pPr>
      <w:r>
        <w:fldChar w:fldCharType="begin"/>
      </w:r>
      <w:r>
        <w:instrText xml:space="preserve"> HYPERLINK \l _Toc987173702 </w:instrText>
      </w:r>
      <w:r>
        <w:fldChar w:fldCharType="separate"/>
      </w:r>
      <w:r>
        <w:rPr>
          <w:b w:val="0"/>
          <w:bCs w:val="0"/>
        </w:rPr>
        <w:t>6.2 系统管理与权限控制测试</w:t>
      </w:r>
      <w:r>
        <w:rPr>
          <w:b w:val="0"/>
          <w:bCs w:val="0"/>
        </w:rPr>
        <w:tab/>
      </w:r>
      <w:r>
        <w:fldChar w:fldCharType="begin"/>
      </w:r>
      <w:r>
        <w:instrText xml:space="preserve"> PAGEREF _Toc987173702 \h </w:instrText>
      </w:r>
      <w:r>
        <w:fldChar w:fldCharType="separate"/>
      </w:r>
      <w:r>
        <w:rPr>
          <w:b w:val="0"/>
          <w:bCs w:val="0"/>
        </w:rPr>
        <w:t>45</w:t>
      </w:r>
      <w:r>
        <w:fldChar w:fldCharType="end"/>
      </w:r>
      <w:r>
        <w:fldChar w:fldCharType="end"/>
      </w:r>
    </w:p>
    <w:p w14:paraId="02A24042">
      <w:pPr>
        <w:pStyle w:val="17"/>
        <w:tabs>
          <w:tab w:val="right" w:leader="dot" w:pos="9354"/>
          <w:tab w:val="clear" w:pos="9344"/>
        </w:tabs>
        <w:rPr>
          <w:b w:val="0"/>
          <w:bCs w:val="0"/>
        </w:rPr>
      </w:pPr>
      <w:r>
        <w:fldChar w:fldCharType="begin"/>
      </w:r>
      <w:r>
        <w:instrText xml:space="preserve"> HYPERLINK \l _Toc2117236439 </w:instrText>
      </w:r>
      <w:r>
        <w:fldChar w:fldCharType="separate"/>
      </w:r>
      <w:r>
        <w:rPr>
          <w:b w:val="0"/>
          <w:bCs w:val="0"/>
        </w:rPr>
        <w:t>6.3 一致性与异步导出测试</w:t>
      </w:r>
      <w:r>
        <w:rPr>
          <w:b w:val="0"/>
          <w:bCs w:val="0"/>
        </w:rPr>
        <w:tab/>
      </w:r>
      <w:r>
        <w:fldChar w:fldCharType="begin"/>
      </w:r>
      <w:r>
        <w:instrText xml:space="preserve"> PAGEREF _Toc2117236439 \h </w:instrText>
      </w:r>
      <w:r>
        <w:fldChar w:fldCharType="separate"/>
      </w:r>
      <w:r>
        <w:rPr>
          <w:b w:val="0"/>
          <w:bCs w:val="0"/>
        </w:rPr>
        <w:t>46</w:t>
      </w:r>
      <w:r>
        <w:fldChar w:fldCharType="end"/>
      </w:r>
      <w:r>
        <w:fldChar w:fldCharType="end"/>
      </w:r>
    </w:p>
    <w:p w14:paraId="0FBAC7CB">
      <w:pPr>
        <w:pStyle w:val="17"/>
        <w:tabs>
          <w:tab w:val="right" w:leader="dot" w:pos="9354"/>
          <w:tab w:val="clear" w:pos="9344"/>
        </w:tabs>
        <w:rPr>
          <w:b w:val="0"/>
          <w:bCs w:val="0"/>
        </w:rPr>
      </w:pPr>
      <w:r>
        <w:fldChar w:fldCharType="begin"/>
      </w:r>
      <w:r>
        <w:instrText xml:space="preserve"> HYPERLINK \l _Toc588799483 </w:instrText>
      </w:r>
      <w:r>
        <w:fldChar w:fldCharType="separate"/>
      </w:r>
      <w:r>
        <w:rPr>
          <w:b w:val="0"/>
          <w:bCs w:val="0"/>
        </w:rPr>
        <w:t>6.4 企业实际应用验证</w:t>
      </w:r>
      <w:r>
        <w:rPr>
          <w:b w:val="0"/>
          <w:bCs w:val="0"/>
        </w:rPr>
        <w:tab/>
      </w:r>
      <w:r>
        <w:fldChar w:fldCharType="begin"/>
      </w:r>
      <w:r>
        <w:instrText xml:space="preserve"> PAGEREF _Toc588799483 \h </w:instrText>
      </w:r>
      <w:r>
        <w:fldChar w:fldCharType="separate"/>
      </w:r>
      <w:r>
        <w:rPr>
          <w:b w:val="0"/>
          <w:bCs w:val="0"/>
        </w:rPr>
        <w:t>47</w:t>
      </w:r>
      <w:r>
        <w:fldChar w:fldCharType="end"/>
      </w:r>
      <w:r>
        <w:fldChar w:fldCharType="end"/>
      </w:r>
    </w:p>
    <w:p w14:paraId="11BC6F40">
      <w:pPr>
        <w:pStyle w:val="16"/>
        <w:tabs>
          <w:tab w:val="right" w:leader="dot" w:pos="9354"/>
        </w:tabs>
        <w:rPr>
          <w:b w:val="0"/>
          <w:bCs w:val="0"/>
        </w:rPr>
      </w:pPr>
      <w:r>
        <w:fldChar w:fldCharType="begin"/>
      </w:r>
      <w:r>
        <w:instrText xml:space="preserve"> HYPERLINK \l _Toc348265405 </w:instrText>
      </w:r>
      <w:r>
        <w:fldChar w:fldCharType="separate"/>
      </w:r>
      <w:r>
        <w:rPr>
          <w:b w:val="0"/>
          <w:bCs w:val="0"/>
        </w:rPr>
        <w:t>7 总结与展望</w:t>
      </w:r>
      <w:r>
        <w:rPr>
          <w:b w:val="0"/>
          <w:bCs w:val="0"/>
        </w:rPr>
        <w:tab/>
      </w:r>
      <w:r>
        <w:fldChar w:fldCharType="begin"/>
      </w:r>
      <w:r>
        <w:instrText xml:space="preserve"> PAGEREF _Toc348265405 \h </w:instrText>
      </w:r>
      <w:r>
        <w:fldChar w:fldCharType="separate"/>
      </w:r>
      <w:r>
        <w:rPr>
          <w:b w:val="0"/>
          <w:bCs w:val="0"/>
        </w:rPr>
        <w:t>48</w:t>
      </w:r>
      <w:r>
        <w:fldChar w:fldCharType="end"/>
      </w:r>
      <w:r>
        <w:fldChar w:fldCharType="end"/>
      </w:r>
    </w:p>
    <w:p w14:paraId="6F004231">
      <w:pPr>
        <w:pStyle w:val="17"/>
        <w:tabs>
          <w:tab w:val="right" w:leader="dot" w:pos="9354"/>
          <w:tab w:val="clear" w:pos="9344"/>
        </w:tabs>
        <w:rPr>
          <w:b w:val="0"/>
          <w:bCs w:val="0"/>
        </w:rPr>
      </w:pPr>
      <w:r>
        <w:fldChar w:fldCharType="begin"/>
      </w:r>
      <w:r>
        <w:instrText xml:space="preserve"> HYPERLINK \l _Toc1403723760 </w:instrText>
      </w:r>
      <w:r>
        <w:fldChar w:fldCharType="separate"/>
      </w:r>
      <w:r>
        <w:rPr>
          <w:b w:val="0"/>
          <w:bCs w:val="0"/>
        </w:rPr>
        <w:t>7.1 总结</w:t>
      </w:r>
      <w:r>
        <w:rPr>
          <w:b w:val="0"/>
          <w:bCs w:val="0"/>
        </w:rPr>
        <w:tab/>
      </w:r>
      <w:r>
        <w:fldChar w:fldCharType="begin"/>
      </w:r>
      <w:r>
        <w:instrText xml:space="preserve"> PAGEREF _Toc1403723760 \h </w:instrText>
      </w:r>
      <w:r>
        <w:fldChar w:fldCharType="separate"/>
      </w:r>
      <w:r>
        <w:rPr>
          <w:b w:val="0"/>
          <w:bCs w:val="0"/>
        </w:rPr>
        <w:t>48</w:t>
      </w:r>
      <w:r>
        <w:fldChar w:fldCharType="end"/>
      </w:r>
      <w:r>
        <w:fldChar w:fldCharType="end"/>
      </w:r>
    </w:p>
    <w:p w14:paraId="49064F88">
      <w:pPr>
        <w:pStyle w:val="17"/>
        <w:tabs>
          <w:tab w:val="right" w:leader="dot" w:pos="9354"/>
          <w:tab w:val="clear" w:pos="9344"/>
        </w:tabs>
        <w:rPr>
          <w:b w:val="0"/>
          <w:bCs w:val="0"/>
        </w:rPr>
      </w:pPr>
      <w:r>
        <w:fldChar w:fldCharType="begin"/>
      </w:r>
      <w:r>
        <w:instrText xml:space="preserve"> HYPERLINK \l _Toc129888378 </w:instrText>
      </w:r>
      <w:r>
        <w:fldChar w:fldCharType="separate"/>
      </w:r>
      <w:r>
        <w:rPr>
          <w:b w:val="0"/>
          <w:bCs w:val="0"/>
        </w:rPr>
        <w:t>7.2 展望</w:t>
      </w:r>
      <w:r>
        <w:rPr>
          <w:b w:val="0"/>
          <w:bCs w:val="0"/>
        </w:rPr>
        <w:tab/>
      </w:r>
      <w:r>
        <w:fldChar w:fldCharType="begin"/>
      </w:r>
      <w:r>
        <w:instrText xml:space="preserve"> PAGEREF _Toc129888378 \h </w:instrText>
      </w:r>
      <w:r>
        <w:fldChar w:fldCharType="separate"/>
      </w:r>
      <w:r>
        <w:rPr>
          <w:b w:val="0"/>
          <w:bCs w:val="0"/>
        </w:rPr>
        <w:t>48</w:t>
      </w:r>
      <w:r>
        <w:fldChar w:fldCharType="end"/>
      </w:r>
      <w:r>
        <w:fldChar w:fldCharType="end"/>
      </w:r>
    </w:p>
    <w:p w14:paraId="27074C99">
      <w:pPr>
        <w:pStyle w:val="16"/>
        <w:tabs>
          <w:tab w:val="right" w:leader="dot" w:pos="9354"/>
        </w:tabs>
        <w:rPr>
          <w:b w:val="0"/>
          <w:bCs w:val="0"/>
        </w:rPr>
      </w:pPr>
      <w:r>
        <w:fldChar w:fldCharType="begin"/>
      </w:r>
      <w:r>
        <w:instrText xml:space="preserve"> HYPERLINK \l _Toc1190583694 </w:instrText>
      </w:r>
      <w:r>
        <w:fldChar w:fldCharType="separate"/>
      </w:r>
      <w:r>
        <w:rPr>
          <w:b w:val="0"/>
          <w:bCs w:val="0"/>
        </w:rPr>
        <w:t>参考文献</w:t>
      </w:r>
      <w:r>
        <w:rPr>
          <w:b w:val="0"/>
          <w:bCs w:val="0"/>
        </w:rPr>
        <w:tab/>
      </w:r>
      <w:r>
        <w:fldChar w:fldCharType="begin"/>
      </w:r>
      <w:r>
        <w:instrText xml:space="preserve"> PAGEREF _Toc1190583694 \h </w:instrText>
      </w:r>
      <w:r>
        <w:fldChar w:fldCharType="separate"/>
      </w:r>
      <w:r>
        <w:rPr>
          <w:b w:val="0"/>
          <w:bCs w:val="0"/>
        </w:rPr>
        <w:t>50</w:t>
      </w:r>
      <w:r>
        <w:fldChar w:fldCharType="end"/>
      </w:r>
      <w:r>
        <w:fldChar w:fldCharType="end"/>
      </w:r>
    </w:p>
    <w:p w14:paraId="2C08BFFD">
      <w:pPr>
        <w:pStyle w:val="16"/>
        <w:tabs>
          <w:tab w:val="right" w:leader="dot" w:pos="9354"/>
        </w:tabs>
        <w:rPr>
          <w:b w:val="0"/>
          <w:bCs w:val="0"/>
        </w:rPr>
      </w:pPr>
      <w:r>
        <w:fldChar w:fldCharType="begin"/>
      </w:r>
      <w:r>
        <w:instrText xml:space="preserve"> HYPERLINK \l _Toc2035005959 </w:instrText>
      </w:r>
      <w:r>
        <w:fldChar w:fldCharType="separate"/>
      </w:r>
      <w:r>
        <w:rPr>
          <w:b w:val="0"/>
          <w:bCs w:val="0"/>
        </w:rPr>
        <w:t>致谢</w:t>
      </w:r>
      <w:r>
        <w:rPr>
          <w:b w:val="0"/>
          <w:bCs w:val="0"/>
        </w:rPr>
        <w:tab/>
      </w:r>
      <w:r>
        <w:fldChar w:fldCharType="begin"/>
      </w:r>
      <w:r>
        <w:instrText xml:space="preserve"> PAGEREF _Toc2035005959 \h </w:instrText>
      </w:r>
      <w:r>
        <w:fldChar w:fldCharType="separate"/>
      </w:r>
      <w:r>
        <w:rPr>
          <w:b w:val="0"/>
          <w:bCs w:val="0"/>
        </w:rPr>
        <w:t>52</w:t>
      </w:r>
      <w:r>
        <w:fldChar w:fldCharType="end"/>
      </w:r>
      <w:r>
        <w:fldChar w:fldCharType="end"/>
      </w:r>
    </w:p>
    <w:p w14:paraId="0A0D1183">
      <w:pPr>
        <w:ind w:left="0" w:leftChars="0" w:firstLine="0" w:firstLineChars="0"/>
        <w:rPr>
          <w:rFonts w:hint="eastAsia" w:ascii="宋体" w:hAnsi="宋体" w:eastAsia="宋体" w:cs="宋体"/>
        </w:rPr>
      </w:pPr>
      <w:r>
        <w:fldChar w:fldCharType="end"/>
      </w:r>
    </w:p>
    <w:p w14:paraId="439F6229">
      <w:r>
        <w:br w:type="page"/>
      </w:r>
    </w:p>
    <w:p w14:paraId="49F789E1">
      <w:pPr>
        <w:ind w:left="0" w:leftChars="0" w:firstLine="0" w:firstLineChars="0"/>
      </w:pPr>
    </w:p>
    <w:p w14:paraId="1D66856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kern w:val="2"/>
          <w:sz w:val="24"/>
          <w:szCs w:val="24"/>
          <w:lang w:val="en-US" w:eastAsia="zh-CN" w:bidi="ar-SA"/>
        </w:rPr>
      </w:pPr>
      <w:r>
        <w:rPr>
          <w:b/>
          <w:bCs/>
        </w:rPr>
        <w:t>Contents</w:t>
      </w:r>
    </w:p>
    <w:p w14:paraId="4842C8C9">
      <w:pPr>
        <w:pStyle w:val="16"/>
        <w:tabs>
          <w:tab w:val="right" w:leader="dot" w:pos="9354"/>
        </w:tabs>
        <w:rPr>
          <w:b w:val="0"/>
          <w:bCs w:val="0"/>
        </w:rPr>
      </w:pPr>
      <w:r>
        <w:fldChar w:fldCharType="begin"/>
      </w:r>
      <w:r>
        <w:instrText xml:space="preserve">TOC \o "1-2" \h \u </w:instrText>
      </w:r>
      <w:r>
        <w:fldChar w:fldCharType="separate"/>
      </w:r>
      <w:r>
        <w:fldChar w:fldCharType="begin"/>
      </w:r>
      <w:r>
        <w:instrText xml:space="preserve"> HYPERLINK \l _Toc1870690116 </w:instrText>
      </w:r>
      <w:r>
        <w:fldChar w:fldCharType="separate"/>
      </w:r>
      <w:r>
        <w:rPr>
          <w:b w:val="0"/>
          <w:bCs w:val="0"/>
        </w:rPr>
        <w:t>1 Introduction</w:t>
      </w:r>
      <w:r>
        <w:rPr>
          <w:b w:val="0"/>
          <w:bCs w:val="0"/>
        </w:rPr>
        <w:tab/>
      </w:r>
      <w:r>
        <w:fldChar w:fldCharType="begin"/>
      </w:r>
      <w:r>
        <w:instrText xml:space="preserve"> PAGEREF _Toc1870690116 \h </w:instrText>
      </w:r>
      <w:r>
        <w:fldChar w:fldCharType="separate"/>
      </w:r>
      <w:r>
        <w:rPr>
          <w:b w:val="0"/>
          <w:bCs w:val="0"/>
        </w:rPr>
        <w:t>1</w:t>
      </w:r>
      <w:r>
        <w:fldChar w:fldCharType="end"/>
      </w:r>
      <w:r>
        <w:fldChar w:fldCharType="end"/>
      </w:r>
    </w:p>
    <w:p w14:paraId="7B8221AE">
      <w:pPr>
        <w:pStyle w:val="17"/>
        <w:tabs>
          <w:tab w:val="right" w:leader="dot" w:pos="9354"/>
          <w:tab w:val="clear" w:pos="9344"/>
        </w:tabs>
        <w:rPr>
          <w:b w:val="0"/>
          <w:bCs w:val="0"/>
        </w:rPr>
      </w:pPr>
      <w:r>
        <w:fldChar w:fldCharType="begin"/>
      </w:r>
      <w:r>
        <w:instrText xml:space="preserve"> HYPERLINK \l _Toc1528187532 </w:instrText>
      </w:r>
      <w:r>
        <w:fldChar w:fldCharType="separate"/>
      </w:r>
      <w:r>
        <w:rPr>
          <w:b w:val="0"/>
          <w:bCs w:val="0"/>
        </w:rPr>
        <w:t>1.1 Research Background and Significance</w:t>
      </w:r>
      <w:r>
        <w:rPr>
          <w:b w:val="0"/>
          <w:bCs w:val="0"/>
        </w:rPr>
        <w:tab/>
      </w:r>
      <w:r>
        <w:fldChar w:fldCharType="begin"/>
      </w:r>
      <w:r>
        <w:instrText xml:space="preserve"> PAGEREF _Toc1528187532 \h </w:instrText>
      </w:r>
      <w:r>
        <w:fldChar w:fldCharType="separate"/>
      </w:r>
      <w:r>
        <w:rPr>
          <w:b w:val="0"/>
          <w:bCs w:val="0"/>
        </w:rPr>
        <w:t>1</w:t>
      </w:r>
      <w:r>
        <w:fldChar w:fldCharType="end"/>
      </w:r>
      <w:r>
        <w:fldChar w:fldCharType="end"/>
      </w:r>
    </w:p>
    <w:p w14:paraId="62A6B5A6">
      <w:pPr>
        <w:pStyle w:val="17"/>
        <w:tabs>
          <w:tab w:val="right" w:leader="dot" w:pos="9354"/>
          <w:tab w:val="clear" w:pos="9344"/>
        </w:tabs>
        <w:rPr>
          <w:b w:val="0"/>
          <w:bCs w:val="0"/>
        </w:rPr>
      </w:pPr>
      <w:r>
        <w:fldChar w:fldCharType="begin"/>
      </w:r>
      <w:r>
        <w:instrText xml:space="preserve"> HYPERLINK \l _Toc343432204 </w:instrText>
      </w:r>
      <w:r>
        <w:fldChar w:fldCharType="separate"/>
      </w:r>
      <w:r>
        <w:rPr>
          <w:b w:val="0"/>
          <w:bCs w:val="0"/>
        </w:rPr>
        <w:t>1.2 Domestic and International Research Status</w:t>
      </w:r>
      <w:r>
        <w:rPr>
          <w:b w:val="0"/>
          <w:bCs w:val="0"/>
        </w:rPr>
        <w:tab/>
      </w:r>
      <w:r>
        <w:fldChar w:fldCharType="begin"/>
      </w:r>
      <w:r>
        <w:instrText xml:space="preserve"> PAGEREF _Toc343432204 \h </w:instrText>
      </w:r>
      <w:r>
        <w:fldChar w:fldCharType="separate"/>
      </w:r>
      <w:r>
        <w:rPr>
          <w:b w:val="0"/>
          <w:bCs w:val="0"/>
        </w:rPr>
        <w:t>2</w:t>
      </w:r>
      <w:r>
        <w:fldChar w:fldCharType="end"/>
      </w:r>
      <w:r>
        <w:fldChar w:fldCharType="end"/>
      </w:r>
    </w:p>
    <w:p w14:paraId="5A07E419">
      <w:pPr>
        <w:pStyle w:val="17"/>
        <w:tabs>
          <w:tab w:val="right" w:leader="dot" w:pos="9354"/>
          <w:tab w:val="clear" w:pos="9344"/>
        </w:tabs>
        <w:rPr>
          <w:b w:val="0"/>
          <w:bCs w:val="0"/>
        </w:rPr>
      </w:pPr>
      <w:r>
        <w:fldChar w:fldCharType="begin"/>
      </w:r>
      <w:r>
        <w:instrText xml:space="preserve"> HYPERLINK \l _Toc1776493139 </w:instrText>
      </w:r>
      <w:r>
        <w:fldChar w:fldCharType="separate"/>
      </w:r>
      <w:r>
        <w:rPr>
          <w:b w:val="0"/>
          <w:bCs w:val="0"/>
        </w:rPr>
        <w:t>1.3 Research Content</w:t>
      </w:r>
      <w:r>
        <w:rPr>
          <w:b w:val="0"/>
          <w:bCs w:val="0"/>
        </w:rPr>
        <w:tab/>
      </w:r>
      <w:r>
        <w:fldChar w:fldCharType="begin"/>
      </w:r>
      <w:r>
        <w:instrText xml:space="preserve"> PAGEREF _Toc1776493139 \h </w:instrText>
      </w:r>
      <w:r>
        <w:fldChar w:fldCharType="separate"/>
      </w:r>
      <w:r>
        <w:rPr>
          <w:b w:val="0"/>
          <w:bCs w:val="0"/>
        </w:rPr>
        <w:t>2</w:t>
      </w:r>
      <w:r>
        <w:fldChar w:fldCharType="end"/>
      </w:r>
      <w:r>
        <w:fldChar w:fldCharType="end"/>
      </w:r>
    </w:p>
    <w:p w14:paraId="58B4F053">
      <w:pPr>
        <w:pStyle w:val="16"/>
        <w:tabs>
          <w:tab w:val="right" w:leader="dot" w:pos="9354"/>
        </w:tabs>
        <w:rPr>
          <w:b w:val="0"/>
          <w:bCs w:val="0"/>
        </w:rPr>
      </w:pPr>
      <w:r>
        <w:fldChar w:fldCharType="begin"/>
      </w:r>
      <w:r>
        <w:instrText xml:space="preserve"> HYPERLINK \l _Toc1055042932 </w:instrText>
      </w:r>
      <w:r>
        <w:fldChar w:fldCharType="separate"/>
      </w:r>
      <w:r>
        <w:rPr>
          <w:b w:val="0"/>
          <w:bCs w:val="0"/>
        </w:rPr>
        <w:t>2 Key Technologies</w:t>
      </w:r>
      <w:r>
        <w:rPr>
          <w:b w:val="0"/>
          <w:bCs w:val="0"/>
        </w:rPr>
        <w:tab/>
      </w:r>
      <w:r>
        <w:fldChar w:fldCharType="begin"/>
      </w:r>
      <w:r>
        <w:instrText xml:space="preserve"> PAGEREF _Toc1055042932 \h </w:instrText>
      </w:r>
      <w:r>
        <w:fldChar w:fldCharType="separate"/>
      </w:r>
      <w:r>
        <w:rPr>
          <w:b w:val="0"/>
          <w:bCs w:val="0"/>
        </w:rPr>
        <w:t>3</w:t>
      </w:r>
      <w:r>
        <w:fldChar w:fldCharType="end"/>
      </w:r>
      <w:r>
        <w:fldChar w:fldCharType="end"/>
      </w:r>
    </w:p>
    <w:p w14:paraId="4B7D4B74">
      <w:pPr>
        <w:pStyle w:val="17"/>
        <w:tabs>
          <w:tab w:val="right" w:leader="dot" w:pos="9354"/>
          <w:tab w:val="clear" w:pos="9344"/>
        </w:tabs>
        <w:rPr>
          <w:b w:val="0"/>
          <w:bCs w:val="0"/>
        </w:rPr>
      </w:pPr>
      <w:r>
        <w:fldChar w:fldCharType="begin"/>
      </w:r>
      <w:r>
        <w:instrText xml:space="preserve"> HYPERLINK \l _Toc334084845 </w:instrText>
      </w:r>
      <w:r>
        <w:fldChar w:fldCharType="separate"/>
      </w:r>
      <w:r>
        <w:rPr>
          <w:b w:val="0"/>
          <w:bCs w:val="0"/>
        </w:rPr>
        <w:t>2.1 System Development Environment</w:t>
      </w:r>
      <w:r>
        <w:rPr>
          <w:b w:val="0"/>
          <w:bCs w:val="0"/>
        </w:rPr>
        <w:tab/>
      </w:r>
      <w:r>
        <w:fldChar w:fldCharType="begin"/>
      </w:r>
      <w:r>
        <w:instrText xml:space="preserve"> PAGEREF _Toc334084845 \h </w:instrText>
      </w:r>
      <w:r>
        <w:fldChar w:fldCharType="separate"/>
      </w:r>
      <w:r>
        <w:rPr>
          <w:b w:val="0"/>
          <w:bCs w:val="0"/>
        </w:rPr>
        <w:t>3</w:t>
      </w:r>
      <w:r>
        <w:fldChar w:fldCharType="end"/>
      </w:r>
      <w:r>
        <w:fldChar w:fldCharType="end"/>
      </w:r>
    </w:p>
    <w:p w14:paraId="1A4D9504">
      <w:pPr>
        <w:pStyle w:val="17"/>
        <w:tabs>
          <w:tab w:val="right" w:leader="dot" w:pos="9354"/>
          <w:tab w:val="clear" w:pos="9344"/>
        </w:tabs>
        <w:rPr>
          <w:b w:val="0"/>
          <w:bCs w:val="0"/>
        </w:rPr>
      </w:pPr>
      <w:r>
        <w:fldChar w:fldCharType="begin"/>
      </w:r>
      <w:r>
        <w:instrText xml:space="preserve"> HYPERLINK \l _Toc1441736657 </w:instrText>
      </w:r>
      <w:r>
        <w:fldChar w:fldCharType="separate"/>
      </w:r>
      <w:r>
        <w:rPr>
          <w:b w:val="0"/>
          <w:bCs w:val="0"/>
        </w:rPr>
        <w:t>2.2 System Technology Stack Description</w:t>
      </w:r>
      <w:r>
        <w:rPr>
          <w:b w:val="0"/>
          <w:bCs w:val="0"/>
        </w:rPr>
        <w:tab/>
      </w:r>
      <w:r>
        <w:fldChar w:fldCharType="begin"/>
      </w:r>
      <w:r>
        <w:instrText xml:space="preserve"> PAGEREF _Toc1441736657 \h </w:instrText>
      </w:r>
      <w:r>
        <w:fldChar w:fldCharType="separate"/>
      </w:r>
      <w:r>
        <w:rPr>
          <w:b w:val="0"/>
          <w:bCs w:val="0"/>
        </w:rPr>
        <w:t>4</w:t>
      </w:r>
      <w:r>
        <w:fldChar w:fldCharType="end"/>
      </w:r>
      <w:r>
        <w:fldChar w:fldCharType="end"/>
      </w:r>
    </w:p>
    <w:p w14:paraId="27C5970F">
      <w:pPr>
        <w:pStyle w:val="16"/>
        <w:tabs>
          <w:tab w:val="right" w:leader="dot" w:pos="9354"/>
        </w:tabs>
        <w:rPr>
          <w:b w:val="0"/>
          <w:bCs w:val="0"/>
        </w:rPr>
      </w:pPr>
      <w:r>
        <w:fldChar w:fldCharType="begin"/>
      </w:r>
      <w:r>
        <w:instrText xml:space="preserve"> HYPERLINK \l _Toc1210005098 </w:instrText>
      </w:r>
      <w:r>
        <w:fldChar w:fldCharType="separate"/>
      </w:r>
      <w:r>
        <w:rPr>
          <w:b w:val="0"/>
          <w:bCs w:val="0"/>
        </w:rPr>
        <w:t>3 System Analysis</w:t>
      </w:r>
      <w:r>
        <w:rPr>
          <w:b w:val="0"/>
          <w:bCs w:val="0"/>
        </w:rPr>
        <w:tab/>
      </w:r>
      <w:r>
        <w:fldChar w:fldCharType="begin"/>
      </w:r>
      <w:r>
        <w:instrText xml:space="preserve"> PAGEREF _Toc1210005098 \h </w:instrText>
      </w:r>
      <w:r>
        <w:fldChar w:fldCharType="separate"/>
      </w:r>
      <w:r>
        <w:rPr>
          <w:b w:val="0"/>
          <w:bCs w:val="0"/>
        </w:rPr>
        <w:t>8</w:t>
      </w:r>
      <w:r>
        <w:fldChar w:fldCharType="end"/>
      </w:r>
      <w:r>
        <w:fldChar w:fldCharType="end"/>
      </w:r>
    </w:p>
    <w:p w14:paraId="1CA42EA7">
      <w:pPr>
        <w:pStyle w:val="17"/>
        <w:tabs>
          <w:tab w:val="right" w:leader="dot" w:pos="9354"/>
          <w:tab w:val="clear" w:pos="9344"/>
        </w:tabs>
        <w:rPr>
          <w:b w:val="0"/>
          <w:bCs w:val="0"/>
        </w:rPr>
      </w:pPr>
      <w:r>
        <w:fldChar w:fldCharType="begin"/>
      </w:r>
      <w:r>
        <w:instrText xml:space="preserve"> HYPERLINK \l _Toc2033028643 </w:instrText>
      </w:r>
      <w:r>
        <w:fldChar w:fldCharType="separate"/>
      </w:r>
      <w:r>
        <w:rPr>
          <w:b w:val="0"/>
          <w:bCs w:val="0"/>
        </w:rPr>
        <w:t>3.1 System Feasibility Analysis</w:t>
      </w:r>
      <w:r>
        <w:rPr>
          <w:b w:val="0"/>
          <w:bCs w:val="0"/>
        </w:rPr>
        <w:tab/>
      </w:r>
      <w:r>
        <w:fldChar w:fldCharType="begin"/>
      </w:r>
      <w:r>
        <w:instrText xml:space="preserve"> PAGEREF _Toc2033028643 \h </w:instrText>
      </w:r>
      <w:r>
        <w:fldChar w:fldCharType="separate"/>
      </w:r>
      <w:r>
        <w:rPr>
          <w:b w:val="0"/>
          <w:bCs w:val="0"/>
        </w:rPr>
        <w:t>8</w:t>
      </w:r>
      <w:r>
        <w:fldChar w:fldCharType="end"/>
      </w:r>
      <w:r>
        <w:fldChar w:fldCharType="end"/>
      </w:r>
    </w:p>
    <w:p w14:paraId="782D1337">
      <w:pPr>
        <w:pStyle w:val="17"/>
        <w:tabs>
          <w:tab w:val="right" w:leader="dot" w:pos="9354"/>
          <w:tab w:val="clear" w:pos="9344"/>
        </w:tabs>
        <w:rPr>
          <w:b w:val="0"/>
          <w:bCs w:val="0"/>
        </w:rPr>
      </w:pPr>
      <w:r>
        <w:fldChar w:fldCharType="begin"/>
      </w:r>
      <w:r>
        <w:instrText xml:space="preserve"> HYPERLINK \l _Toc500095484 </w:instrText>
      </w:r>
      <w:r>
        <w:fldChar w:fldCharType="separate"/>
      </w:r>
      <w:r>
        <w:rPr>
          <w:b w:val="0"/>
          <w:bCs w:val="0"/>
        </w:rPr>
        <w:t>3.2 System User and Requirements Analysis</w:t>
      </w:r>
      <w:r>
        <w:rPr>
          <w:b w:val="0"/>
          <w:bCs w:val="0"/>
        </w:rPr>
        <w:tab/>
      </w:r>
      <w:r>
        <w:fldChar w:fldCharType="begin"/>
      </w:r>
      <w:r>
        <w:instrText xml:space="preserve"> PAGEREF _Toc500095484 \h </w:instrText>
      </w:r>
      <w:r>
        <w:fldChar w:fldCharType="separate"/>
      </w:r>
      <w:r>
        <w:rPr>
          <w:b w:val="0"/>
          <w:bCs w:val="0"/>
        </w:rPr>
        <w:t>9</w:t>
      </w:r>
      <w:r>
        <w:fldChar w:fldCharType="end"/>
      </w:r>
      <w:r>
        <w:fldChar w:fldCharType="end"/>
      </w:r>
    </w:p>
    <w:p w14:paraId="214DF488">
      <w:pPr>
        <w:pStyle w:val="17"/>
        <w:tabs>
          <w:tab w:val="right" w:leader="dot" w:pos="9354"/>
          <w:tab w:val="clear" w:pos="9344"/>
        </w:tabs>
        <w:rPr>
          <w:b w:val="0"/>
          <w:bCs w:val="0"/>
        </w:rPr>
      </w:pPr>
      <w:r>
        <w:fldChar w:fldCharType="begin"/>
      </w:r>
      <w:r>
        <w:instrText xml:space="preserve"> HYPERLINK \l _Toc2001288877 </w:instrText>
      </w:r>
      <w:r>
        <w:fldChar w:fldCharType="separate"/>
      </w:r>
      <w:r>
        <w:rPr>
          <w:b w:val="0"/>
          <w:bCs w:val="0"/>
        </w:rPr>
        <w:t>3.3 Non-functional Requirements Analysis</w:t>
      </w:r>
      <w:r>
        <w:rPr>
          <w:b w:val="0"/>
          <w:bCs w:val="0"/>
        </w:rPr>
        <w:tab/>
      </w:r>
      <w:r>
        <w:fldChar w:fldCharType="begin"/>
      </w:r>
      <w:r>
        <w:instrText xml:space="preserve"> PAGEREF _Toc2001288877 \h </w:instrText>
      </w:r>
      <w:r>
        <w:fldChar w:fldCharType="separate"/>
      </w:r>
      <w:r>
        <w:rPr>
          <w:b w:val="0"/>
          <w:bCs w:val="0"/>
        </w:rPr>
        <w:t>17</w:t>
      </w:r>
      <w:r>
        <w:fldChar w:fldCharType="end"/>
      </w:r>
      <w:r>
        <w:fldChar w:fldCharType="end"/>
      </w:r>
    </w:p>
    <w:p w14:paraId="393B38D6">
      <w:pPr>
        <w:pStyle w:val="16"/>
        <w:tabs>
          <w:tab w:val="right" w:leader="dot" w:pos="9354"/>
        </w:tabs>
        <w:rPr>
          <w:b w:val="0"/>
          <w:bCs w:val="0"/>
        </w:rPr>
      </w:pPr>
      <w:r>
        <w:fldChar w:fldCharType="begin"/>
      </w:r>
      <w:r>
        <w:instrText xml:space="preserve"> HYPERLINK \l _Toc1773276425 </w:instrText>
      </w:r>
      <w:r>
        <w:fldChar w:fldCharType="separate"/>
      </w:r>
      <w:r>
        <w:rPr>
          <w:b w:val="0"/>
          <w:bCs w:val="0"/>
        </w:rPr>
        <w:t>4 System Design</w:t>
      </w:r>
      <w:r>
        <w:rPr>
          <w:b w:val="0"/>
          <w:bCs w:val="0"/>
        </w:rPr>
        <w:tab/>
      </w:r>
      <w:r>
        <w:fldChar w:fldCharType="begin"/>
      </w:r>
      <w:r>
        <w:instrText xml:space="preserve"> PAGEREF _Toc1773276425 \h </w:instrText>
      </w:r>
      <w:r>
        <w:fldChar w:fldCharType="separate"/>
      </w:r>
      <w:r>
        <w:rPr>
          <w:b w:val="0"/>
          <w:bCs w:val="0"/>
        </w:rPr>
        <w:t>18</w:t>
      </w:r>
      <w:r>
        <w:fldChar w:fldCharType="end"/>
      </w:r>
      <w:r>
        <w:fldChar w:fldCharType="end"/>
      </w:r>
    </w:p>
    <w:p w14:paraId="6FE6563B">
      <w:pPr>
        <w:pStyle w:val="17"/>
        <w:tabs>
          <w:tab w:val="right" w:leader="dot" w:pos="9354"/>
          <w:tab w:val="clear" w:pos="9344"/>
        </w:tabs>
        <w:rPr>
          <w:b w:val="0"/>
          <w:bCs w:val="0"/>
        </w:rPr>
      </w:pPr>
      <w:r>
        <w:fldChar w:fldCharType="begin"/>
      </w:r>
      <w:r>
        <w:instrText xml:space="preserve"> HYPERLINK \l _Toc678821909 </w:instrText>
      </w:r>
      <w:r>
        <w:fldChar w:fldCharType="separate"/>
      </w:r>
      <w:r>
        <w:rPr>
          <w:b w:val="0"/>
          <w:bCs w:val="0"/>
        </w:rPr>
        <w:t>4.1 System Design Goals and Principles</w:t>
      </w:r>
      <w:r>
        <w:rPr>
          <w:b w:val="0"/>
          <w:bCs w:val="0"/>
        </w:rPr>
        <w:tab/>
      </w:r>
      <w:r>
        <w:fldChar w:fldCharType="begin"/>
      </w:r>
      <w:r>
        <w:instrText xml:space="preserve"> PAGEREF _Toc678821909 \h </w:instrText>
      </w:r>
      <w:r>
        <w:fldChar w:fldCharType="separate"/>
      </w:r>
      <w:r>
        <w:rPr>
          <w:b w:val="0"/>
          <w:bCs w:val="0"/>
        </w:rPr>
        <w:t>18</w:t>
      </w:r>
      <w:r>
        <w:fldChar w:fldCharType="end"/>
      </w:r>
      <w:r>
        <w:fldChar w:fldCharType="end"/>
      </w:r>
    </w:p>
    <w:p w14:paraId="4F965E9A">
      <w:pPr>
        <w:pStyle w:val="17"/>
        <w:tabs>
          <w:tab w:val="right" w:leader="dot" w:pos="9354"/>
          <w:tab w:val="clear" w:pos="9344"/>
        </w:tabs>
        <w:rPr>
          <w:b w:val="0"/>
          <w:bCs w:val="0"/>
        </w:rPr>
      </w:pPr>
      <w:r>
        <w:fldChar w:fldCharType="begin"/>
      </w:r>
      <w:r>
        <w:instrText xml:space="preserve"> HYPERLINK \l _Toc1526691699 </w:instrText>
      </w:r>
      <w:r>
        <w:fldChar w:fldCharType="separate"/>
      </w:r>
      <w:r>
        <w:rPr>
          <w:b w:val="0"/>
          <w:bCs w:val="0"/>
        </w:rPr>
        <w:t>4.2 System Architecture Design</w:t>
      </w:r>
      <w:r>
        <w:rPr>
          <w:b w:val="0"/>
          <w:bCs w:val="0"/>
        </w:rPr>
        <w:tab/>
      </w:r>
      <w:r>
        <w:fldChar w:fldCharType="begin"/>
      </w:r>
      <w:r>
        <w:instrText xml:space="preserve"> PAGEREF _Toc1526691699 \h </w:instrText>
      </w:r>
      <w:r>
        <w:fldChar w:fldCharType="separate"/>
      </w:r>
      <w:r>
        <w:rPr>
          <w:b w:val="0"/>
          <w:bCs w:val="0"/>
        </w:rPr>
        <w:t>19</w:t>
      </w:r>
      <w:r>
        <w:fldChar w:fldCharType="end"/>
      </w:r>
      <w:r>
        <w:fldChar w:fldCharType="end"/>
      </w:r>
    </w:p>
    <w:p w14:paraId="7535408A">
      <w:pPr>
        <w:pStyle w:val="17"/>
        <w:tabs>
          <w:tab w:val="right" w:leader="dot" w:pos="9354"/>
          <w:tab w:val="clear" w:pos="9344"/>
        </w:tabs>
        <w:rPr>
          <w:b w:val="0"/>
          <w:bCs w:val="0"/>
        </w:rPr>
      </w:pPr>
      <w:r>
        <w:fldChar w:fldCharType="begin"/>
      </w:r>
      <w:r>
        <w:instrText xml:space="preserve"> HYPERLINK \l _Toc972770737 </w:instrText>
      </w:r>
      <w:r>
        <w:fldChar w:fldCharType="separate"/>
      </w:r>
      <w:r>
        <w:rPr>
          <w:b w:val="0"/>
          <w:bCs w:val="0"/>
        </w:rPr>
        <w:t>4.3 System Functional Structure Design</w:t>
      </w:r>
      <w:r>
        <w:rPr>
          <w:b w:val="0"/>
          <w:bCs w:val="0"/>
        </w:rPr>
        <w:tab/>
      </w:r>
      <w:r>
        <w:fldChar w:fldCharType="begin"/>
      </w:r>
      <w:r>
        <w:instrText xml:space="preserve"> PAGEREF _Toc972770737 \h </w:instrText>
      </w:r>
      <w:r>
        <w:fldChar w:fldCharType="separate"/>
      </w:r>
      <w:r>
        <w:rPr>
          <w:b w:val="0"/>
          <w:bCs w:val="0"/>
        </w:rPr>
        <w:t>21</w:t>
      </w:r>
      <w:r>
        <w:fldChar w:fldCharType="end"/>
      </w:r>
      <w:r>
        <w:fldChar w:fldCharType="end"/>
      </w:r>
    </w:p>
    <w:p w14:paraId="3CDF9579">
      <w:pPr>
        <w:pStyle w:val="17"/>
        <w:tabs>
          <w:tab w:val="right" w:leader="dot" w:pos="9354"/>
          <w:tab w:val="clear" w:pos="9344"/>
        </w:tabs>
        <w:rPr>
          <w:b w:val="0"/>
          <w:bCs w:val="0"/>
        </w:rPr>
      </w:pPr>
      <w:r>
        <w:fldChar w:fldCharType="begin"/>
      </w:r>
      <w:r>
        <w:instrText xml:space="preserve"> HYPERLINK \l _Toc564772148 </w:instrText>
      </w:r>
      <w:r>
        <w:fldChar w:fldCharType="separate"/>
      </w:r>
      <w:r>
        <w:rPr>
          <w:b w:val="0"/>
          <w:bCs w:val="0"/>
        </w:rPr>
        <w:t>4.4 Database Design</w:t>
      </w:r>
      <w:r>
        <w:rPr>
          <w:b w:val="0"/>
          <w:bCs w:val="0"/>
        </w:rPr>
        <w:tab/>
      </w:r>
      <w:r>
        <w:fldChar w:fldCharType="begin"/>
      </w:r>
      <w:r>
        <w:instrText xml:space="preserve"> PAGEREF _Toc564772148 \h </w:instrText>
      </w:r>
      <w:r>
        <w:fldChar w:fldCharType="separate"/>
      </w:r>
      <w:r>
        <w:rPr>
          <w:b w:val="0"/>
          <w:bCs w:val="0"/>
        </w:rPr>
        <w:t>22</w:t>
      </w:r>
      <w:r>
        <w:fldChar w:fldCharType="end"/>
      </w:r>
      <w:r>
        <w:fldChar w:fldCharType="end"/>
      </w:r>
    </w:p>
    <w:p w14:paraId="7EE36B95">
      <w:pPr>
        <w:pStyle w:val="17"/>
        <w:tabs>
          <w:tab w:val="right" w:leader="dot" w:pos="9354"/>
          <w:tab w:val="clear" w:pos="9344"/>
        </w:tabs>
        <w:rPr>
          <w:b w:val="0"/>
          <w:bCs w:val="0"/>
        </w:rPr>
      </w:pPr>
      <w:r>
        <w:fldChar w:fldCharType="begin"/>
      </w:r>
      <w:r>
        <w:instrText xml:space="preserve"> HYPERLINK \l _Toc247771696 </w:instrText>
      </w:r>
      <w:r>
        <w:fldChar w:fldCharType="separate"/>
      </w:r>
      <w:r>
        <w:rPr>
          <w:b w:val="0"/>
          <w:bCs w:val="0"/>
        </w:rPr>
        <w:t>4.5 System Function Design</w:t>
      </w:r>
      <w:r>
        <w:rPr>
          <w:b w:val="0"/>
          <w:bCs w:val="0"/>
        </w:rPr>
        <w:tab/>
      </w:r>
      <w:r>
        <w:fldChar w:fldCharType="begin"/>
      </w:r>
      <w:r>
        <w:instrText xml:space="preserve"> PAGEREF _Toc247771696 \h </w:instrText>
      </w:r>
      <w:r>
        <w:fldChar w:fldCharType="separate"/>
      </w:r>
      <w:r>
        <w:rPr>
          <w:b w:val="0"/>
          <w:bCs w:val="0"/>
        </w:rPr>
        <w:t>33</w:t>
      </w:r>
      <w:r>
        <w:fldChar w:fldCharType="end"/>
      </w:r>
      <w:r>
        <w:fldChar w:fldCharType="end"/>
      </w:r>
    </w:p>
    <w:p w14:paraId="1D0BC8D7">
      <w:pPr>
        <w:pStyle w:val="16"/>
        <w:tabs>
          <w:tab w:val="right" w:leader="dot" w:pos="9354"/>
        </w:tabs>
        <w:rPr>
          <w:b w:val="0"/>
          <w:bCs w:val="0"/>
        </w:rPr>
      </w:pPr>
      <w:r>
        <w:fldChar w:fldCharType="begin"/>
      </w:r>
      <w:r>
        <w:instrText xml:space="preserve"> HYPERLINK \l _Toc328103139 </w:instrText>
      </w:r>
      <w:r>
        <w:fldChar w:fldCharType="separate"/>
      </w:r>
      <w:r>
        <w:rPr>
          <w:b w:val="0"/>
          <w:bCs w:val="0"/>
        </w:rPr>
        <w:t>5 System Implementation</w:t>
      </w:r>
      <w:r>
        <w:rPr>
          <w:b w:val="0"/>
          <w:bCs w:val="0"/>
        </w:rPr>
        <w:tab/>
      </w:r>
      <w:r>
        <w:fldChar w:fldCharType="begin"/>
      </w:r>
      <w:r>
        <w:instrText xml:space="preserve"> PAGEREF _Toc328103139 \h </w:instrText>
      </w:r>
      <w:r>
        <w:fldChar w:fldCharType="separate"/>
      </w:r>
      <w:r>
        <w:rPr>
          <w:b w:val="0"/>
          <w:bCs w:val="0"/>
        </w:rPr>
        <w:t>39</w:t>
      </w:r>
      <w:r>
        <w:fldChar w:fldCharType="end"/>
      </w:r>
      <w:r>
        <w:fldChar w:fldCharType="end"/>
      </w:r>
    </w:p>
    <w:p w14:paraId="492A7942">
      <w:pPr>
        <w:pStyle w:val="17"/>
        <w:tabs>
          <w:tab w:val="right" w:leader="dot" w:pos="9354"/>
          <w:tab w:val="clear" w:pos="9344"/>
        </w:tabs>
        <w:rPr>
          <w:b w:val="0"/>
          <w:bCs w:val="0"/>
        </w:rPr>
      </w:pPr>
      <w:r>
        <w:fldChar w:fldCharType="begin"/>
      </w:r>
      <w:r>
        <w:instrText xml:space="preserve"> HYPERLINK \l _Toc1838935324 </w:instrText>
      </w:r>
      <w:r>
        <w:fldChar w:fldCharType="separate"/>
      </w:r>
      <w:r>
        <w:rPr>
          <w:b w:val="0"/>
          <w:bCs w:val="0"/>
        </w:rPr>
        <w:t>5.1 User and Permission Management Module</w:t>
      </w:r>
      <w:r>
        <w:rPr>
          <w:b w:val="0"/>
          <w:bCs w:val="0"/>
        </w:rPr>
        <w:tab/>
      </w:r>
      <w:r>
        <w:fldChar w:fldCharType="begin"/>
      </w:r>
      <w:r>
        <w:instrText xml:space="preserve"> PAGEREF _Toc1838935324 \h </w:instrText>
      </w:r>
      <w:r>
        <w:fldChar w:fldCharType="separate"/>
      </w:r>
      <w:r>
        <w:rPr>
          <w:b w:val="0"/>
          <w:bCs w:val="0"/>
        </w:rPr>
        <w:t>39</w:t>
      </w:r>
      <w:r>
        <w:fldChar w:fldCharType="end"/>
      </w:r>
      <w:r>
        <w:fldChar w:fldCharType="end"/>
      </w:r>
    </w:p>
    <w:p w14:paraId="0A5E44AE">
      <w:pPr>
        <w:pStyle w:val="17"/>
        <w:tabs>
          <w:tab w:val="right" w:leader="dot" w:pos="9354"/>
          <w:tab w:val="clear" w:pos="9344"/>
        </w:tabs>
        <w:rPr>
          <w:b w:val="0"/>
          <w:bCs w:val="0"/>
        </w:rPr>
      </w:pPr>
      <w:r>
        <w:fldChar w:fldCharType="begin"/>
      </w:r>
      <w:r>
        <w:instrText xml:space="preserve"> HYPERLINK \l _Toc401342844 </w:instrText>
      </w:r>
      <w:r>
        <w:fldChar w:fldCharType="separate"/>
      </w:r>
      <w:r>
        <w:rPr>
          <w:b w:val="0"/>
          <w:bCs w:val="0"/>
        </w:rPr>
        <w:t>5.2 Master Data Management Module</w:t>
      </w:r>
      <w:r>
        <w:rPr>
          <w:b w:val="0"/>
          <w:bCs w:val="0"/>
        </w:rPr>
        <w:tab/>
      </w:r>
      <w:r>
        <w:fldChar w:fldCharType="begin"/>
      </w:r>
      <w:r>
        <w:instrText xml:space="preserve"> PAGEREF _Toc401342844 \h </w:instrText>
      </w:r>
      <w:r>
        <w:fldChar w:fldCharType="separate"/>
      </w:r>
      <w:r>
        <w:rPr>
          <w:b w:val="0"/>
          <w:bCs w:val="0"/>
        </w:rPr>
        <w:t>39</w:t>
      </w:r>
      <w:r>
        <w:fldChar w:fldCharType="end"/>
      </w:r>
      <w:r>
        <w:fldChar w:fldCharType="end"/>
      </w:r>
    </w:p>
    <w:p w14:paraId="4D5E7BD9">
      <w:pPr>
        <w:pStyle w:val="17"/>
        <w:tabs>
          <w:tab w:val="right" w:leader="dot" w:pos="9354"/>
          <w:tab w:val="clear" w:pos="9344"/>
        </w:tabs>
        <w:rPr>
          <w:b w:val="0"/>
          <w:bCs w:val="0"/>
        </w:rPr>
      </w:pPr>
      <w:r>
        <w:fldChar w:fldCharType="begin"/>
      </w:r>
      <w:r>
        <w:instrText xml:space="preserve"> HYPERLINK \l _Toc123043881 </w:instrText>
      </w:r>
      <w:r>
        <w:fldChar w:fldCharType="separate"/>
      </w:r>
      <w:r>
        <w:rPr>
          <w:b w:val="0"/>
          <w:bCs w:val="0"/>
        </w:rPr>
        <w:t>5.3 Order Collaboration Module</w:t>
      </w:r>
      <w:r>
        <w:rPr>
          <w:b w:val="0"/>
          <w:bCs w:val="0"/>
        </w:rPr>
        <w:tab/>
      </w:r>
      <w:r>
        <w:fldChar w:fldCharType="begin"/>
      </w:r>
      <w:r>
        <w:instrText xml:space="preserve"> PAGEREF _Toc123043881 \h </w:instrText>
      </w:r>
      <w:r>
        <w:fldChar w:fldCharType="separate"/>
      </w:r>
      <w:r>
        <w:rPr>
          <w:b w:val="0"/>
          <w:bCs w:val="0"/>
        </w:rPr>
        <w:t>40</w:t>
      </w:r>
      <w:r>
        <w:fldChar w:fldCharType="end"/>
      </w:r>
      <w:r>
        <w:fldChar w:fldCharType="end"/>
      </w:r>
    </w:p>
    <w:p w14:paraId="3A1795F3">
      <w:pPr>
        <w:pStyle w:val="17"/>
        <w:tabs>
          <w:tab w:val="right" w:leader="dot" w:pos="9354"/>
          <w:tab w:val="clear" w:pos="9344"/>
        </w:tabs>
        <w:rPr>
          <w:b w:val="0"/>
          <w:bCs w:val="0"/>
        </w:rPr>
      </w:pPr>
      <w:r>
        <w:fldChar w:fldCharType="begin"/>
      </w:r>
      <w:r>
        <w:instrText xml:space="preserve"> HYPERLINK \l _Toc2119239553 </w:instrText>
      </w:r>
      <w:r>
        <w:fldChar w:fldCharType="separate"/>
      </w:r>
      <w:r>
        <w:rPr>
          <w:b w:val="0"/>
          <w:bCs w:val="0"/>
        </w:rPr>
        <w:t>5.4 Inbound Management Module</w:t>
      </w:r>
      <w:r>
        <w:rPr>
          <w:b w:val="0"/>
          <w:bCs w:val="0"/>
        </w:rPr>
        <w:tab/>
      </w:r>
      <w:r>
        <w:fldChar w:fldCharType="begin"/>
      </w:r>
      <w:r>
        <w:instrText xml:space="preserve"> PAGEREF _Toc2119239553 \h </w:instrText>
      </w:r>
      <w:r>
        <w:fldChar w:fldCharType="separate"/>
      </w:r>
      <w:r>
        <w:rPr>
          <w:b w:val="0"/>
          <w:bCs w:val="0"/>
        </w:rPr>
        <w:t>40</w:t>
      </w:r>
      <w:r>
        <w:fldChar w:fldCharType="end"/>
      </w:r>
      <w:r>
        <w:fldChar w:fldCharType="end"/>
      </w:r>
    </w:p>
    <w:p w14:paraId="416E33D9">
      <w:pPr>
        <w:pStyle w:val="17"/>
        <w:tabs>
          <w:tab w:val="right" w:leader="dot" w:pos="9354"/>
          <w:tab w:val="clear" w:pos="9344"/>
        </w:tabs>
        <w:rPr>
          <w:b w:val="0"/>
          <w:bCs w:val="0"/>
        </w:rPr>
      </w:pPr>
      <w:r>
        <w:fldChar w:fldCharType="begin"/>
      </w:r>
      <w:r>
        <w:instrText xml:space="preserve"> HYPERLINK \l _Toc2042881776 </w:instrText>
      </w:r>
      <w:r>
        <w:fldChar w:fldCharType="separate"/>
      </w:r>
      <w:r>
        <w:rPr>
          <w:b w:val="0"/>
          <w:bCs w:val="0"/>
        </w:rPr>
        <w:t>5.5 Outbound Management Module</w:t>
      </w:r>
      <w:r>
        <w:rPr>
          <w:b w:val="0"/>
          <w:bCs w:val="0"/>
        </w:rPr>
        <w:tab/>
      </w:r>
      <w:r>
        <w:fldChar w:fldCharType="begin"/>
      </w:r>
      <w:r>
        <w:instrText xml:space="preserve"> PAGEREF _Toc2042881776 \h </w:instrText>
      </w:r>
      <w:r>
        <w:fldChar w:fldCharType="separate"/>
      </w:r>
      <w:r>
        <w:rPr>
          <w:b w:val="0"/>
          <w:bCs w:val="0"/>
        </w:rPr>
        <w:t>41</w:t>
      </w:r>
      <w:r>
        <w:fldChar w:fldCharType="end"/>
      </w:r>
      <w:r>
        <w:fldChar w:fldCharType="end"/>
      </w:r>
    </w:p>
    <w:p w14:paraId="0158599B">
      <w:pPr>
        <w:pStyle w:val="17"/>
        <w:tabs>
          <w:tab w:val="right" w:leader="dot" w:pos="9354"/>
          <w:tab w:val="clear" w:pos="9344"/>
        </w:tabs>
        <w:rPr>
          <w:b w:val="0"/>
          <w:bCs w:val="0"/>
        </w:rPr>
      </w:pPr>
      <w:r>
        <w:fldChar w:fldCharType="begin"/>
      </w:r>
      <w:r>
        <w:instrText xml:space="preserve"> HYPERLINK \l _Toc745460996 </w:instrText>
      </w:r>
      <w:r>
        <w:fldChar w:fldCharType="separate"/>
      </w:r>
      <w:r>
        <w:rPr>
          <w:b w:val="0"/>
          <w:bCs w:val="0"/>
        </w:rPr>
        <w:t>5.6 Inventory Review and Attachment Functions</w:t>
      </w:r>
      <w:r>
        <w:rPr>
          <w:b w:val="0"/>
          <w:bCs w:val="0"/>
        </w:rPr>
        <w:tab/>
      </w:r>
      <w:r>
        <w:fldChar w:fldCharType="begin"/>
      </w:r>
      <w:r>
        <w:instrText xml:space="preserve"> PAGEREF _Toc745460996 \h </w:instrText>
      </w:r>
      <w:r>
        <w:fldChar w:fldCharType="separate"/>
      </w:r>
      <w:r>
        <w:rPr>
          <w:b w:val="0"/>
          <w:bCs w:val="0"/>
        </w:rPr>
        <w:t>42</w:t>
      </w:r>
      <w:r>
        <w:fldChar w:fldCharType="end"/>
      </w:r>
      <w:r>
        <w:fldChar w:fldCharType="end"/>
      </w:r>
    </w:p>
    <w:p w14:paraId="5A786657">
      <w:pPr>
        <w:pStyle w:val="17"/>
        <w:tabs>
          <w:tab w:val="right" w:leader="dot" w:pos="9354"/>
          <w:tab w:val="clear" w:pos="9344"/>
        </w:tabs>
        <w:rPr>
          <w:b w:val="0"/>
          <w:bCs w:val="0"/>
        </w:rPr>
      </w:pPr>
      <w:r>
        <w:fldChar w:fldCharType="begin"/>
      </w:r>
      <w:r>
        <w:instrText xml:space="preserve"> HYPERLINK \l _Toc543363174 </w:instrText>
      </w:r>
      <w:r>
        <w:fldChar w:fldCharType="separate"/>
      </w:r>
      <w:r>
        <w:rPr>
          <w:b w:val="0"/>
          <w:bCs w:val="0"/>
        </w:rPr>
        <w:t>5.7 Inventory Statistics and Reporting Functions</w:t>
      </w:r>
      <w:r>
        <w:rPr>
          <w:b w:val="0"/>
          <w:bCs w:val="0"/>
        </w:rPr>
        <w:tab/>
      </w:r>
      <w:r>
        <w:fldChar w:fldCharType="begin"/>
      </w:r>
      <w:r>
        <w:instrText xml:space="preserve"> PAGEREF _Toc543363174 \h </w:instrText>
      </w:r>
      <w:r>
        <w:fldChar w:fldCharType="separate"/>
      </w:r>
      <w:r>
        <w:rPr>
          <w:b w:val="0"/>
          <w:bCs w:val="0"/>
        </w:rPr>
        <w:t>42</w:t>
      </w:r>
      <w:r>
        <w:fldChar w:fldCharType="end"/>
      </w:r>
      <w:r>
        <w:fldChar w:fldCharType="end"/>
      </w:r>
    </w:p>
    <w:p w14:paraId="2203C1D8">
      <w:pPr>
        <w:pStyle w:val="17"/>
        <w:tabs>
          <w:tab w:val="right" w:leader="dot" w:pos="9354"/>
          <w:tab w:val="clear" w:pos="9344"/>
        </w:tabs>
        <w:rPr>
          <w:b w:val="0"/>
          <w:bCs w:val="0"/>
        </w:rPr>
      </w:pPr>
      <w:r>
        <w:fldChar w:fldCharType="begin"/>
      </w:r>
      <w:r>
        <w:instrText xml:space="preserve"> HYPERLINK \l _Toc1204398374 </w:instrText>
      </w:r>
      <w:r>
        <w:fldChar w:fldCharType="separate"/>
      </w:r>
      <w:r>
        <w:rPr>
          <w:b w:val="0"/>
          <w:bCs w:val="0"/>
        </w:rPr>
        <w:t>5.8 Asynchronous Export and WebSocket Progress Feedback</w:t>
      </w:r>
      <w:r>
        <w:rPr>
          <w:b w:val="0"/>
          <w:bCs w:val="0"/>
        </w:rPr>
        <w:tab/>
      </w:r>
      <w:r>
        <w:fldChar w:fldCharType="begin"/>
      </w:r>
      <w:r>
        <w:instrText xml:space="preserve"> PAGEREF _Toc1204398374 \h </w:instrText>
      </w:r>
      <w:r>
        <w:fldChar w:fldCharType="separate"/>
      </w:r>
      <w:r>
        <w:rPr>
          <w:b w:val="0"/>
          <w:bCs w:val="0"/>
        </w:rPr>
        <w:t>43</w:t>
      </w:r>
      <w:r>
        <w:fldChar w:fldCharType="end"/>
      </w:r>
      <w:r>
        <w:fldChar w:fldCharType="end"/>
      </w:r>
    </w:p>
    <w:p w14:paraId="452C8ED1">
      <w:pPr>
        <w:pStyle w:val="17"/>
        <w:tabs>
          <w:tab w:val="right" w:leader="dot" w:pos="9354"/>
          <w:tab w:val="clear" w:pos="9344"/>
        </w:tabs>
        <w:rPr>
          <w:b w:val="0"/>
          <w:bCs w:val="0"/>
        </w:rPr>
      </w:pPr>
      <w:r>
        <w:fldChar w:fldCharType="begin"/>
      </w:r>
      <w:r>
        <w:instrText xml:space="preserve"> HYPERLINK \l _Toc142615196 </w:instrText>
      </w:r>
      <w:r>
        <w:fldChar w:fldCharType="separate"/>
      </w:r>
      <w:r>
        <w:rPr>
          <w:b w:val="0"/>
          <w:bCs w:val="0"/>
        </w:rPr>
        <w:t>5.9 Event-Driven Linkage and Consistency Implementation</w:t>
      </w:r>
      <w:r>
        <w:rPr>
          <w:b w:val="0"/>
          <w:bCs w:val="0"/>
        </w:rPr>
        <w:tab/>
      </w:r>
      <w:r>
        <w:fldChar w:fldCharType="begin"/>
      </w:r>
      <w:r>
        <w:instrText xml:space="preserve"> PAGEREF _Toc142615196 \h </w:instrText>
      </w:r>
      <w:r>
        <w:fldChar w:fldCharType="separate"/>
      </w:r>
      <w:r>
        <w:rPr>
          <w:b w:val="0"/>
          <w:bCs w:val="0"/>
        </w:rPr>
        <w:t>44</w:t>
      </w:r>
      <w:r>
        <w:fldChar w:fldCharType="end"/>
      </w:r>
      <w:r>
        <w:fldChar w:fldCharType="end"/>
      </w:r>
    </w:p>
    <w:p w14:paraId="61F0BCA9">
      <w:pPr>
        <w:pStyle w:val="17"/>
        <w:tabs>
          <w:tab w:val="right" w:leader="dot" w:pos="9354"/>
          <w:tab w:val="clear" w:pos="9344"/>
        </w:tabs>
        <w:rPr>
          <w:b w:val="0"/>
          <w:bCs w:val="0"/>
        </w:rPr>
      </w:pPr>
      <w:r>
        <w:fldChar w:fldCharType="begin"/>
      </w:r>
      <w:r>
        <w:instrText xml:space="preserve"> HYPERLINK \l _Toc341849120 </w:instrText>
      </w:r>
      <w:r>
        <w:fldChar w:fldCharType="separate"/>
      </w:r>
      <w:r>
        <w:rPr>
          <w:b w:val="0"/>
          <w:bCs w:val="0"/>
        </w:rPr>
        <w:t>5.10 Summary of System Implementation Results</w:t>
      </w:r>
      <w:r>
        <w:rPr>
          <w:b w:val="0"/>
          <w:bCs w:val="0"/>
        </w:rPr>
        <w:tab/>
      </w:r>
      <w:r>
        <w:fldChar w:fldCharType="begin"/>
      </w:r>
      <w:r>
        <w:instrText xml:space="preserve"> PAGEREF _Toc341849120 \h </w:instrText>
      </w:r>
      <w:r>
        <w:fldChar w:fldCharType="separate"/>
      </w:r>
      <w:r>
        <w:rPr>
          <w:b w:val="0"/>
          <w:bCs w:val="0"/>
        </w:rPr>
        <w:t>44</w:t>
      </w:r>
      <w:r>
        <w:fldChar w:fldCharType="end"/>
      </w:r>
      <w:r>
        <w:fldChar w:fldCharType="end"/>
      </w:r>
    </w:p>
    <w:p w14:paraId="79B6C578">
      <w:pPr>
        <w:pStyle w:val="16"/>
        <w:tabs>
          <w:tab w:val="right" w:leader="dot" w:pos="9354"/>
        </w:tabs>
        <w:rPr>
          <w:b w:val="0"/>
          <w:bCs w:val="0"/>
        </w:rPr>
      </w:pPr>
      <w:r>
        <w:fldChar w:fldCharType="begin"/>
      </w:r>
      <w:r>
        <w:instrText xml:space="preserve"> HYPERLINK \l _Toc939404115 </w:instrText>
      </w:r>
      <w:r>
        <w:fldChar w:fldCharType="separate"/>
      </w:r>
      <w:r>
        <w:rPr>
          <w:b w:val="0"/>
          <w:bCs w:val="0"/>
        </w:rPr>
        <w:t>6 System Testing</w:t>
      </w:r>
      <w:r>
        <w:rPr>
          <w:b w:val="0"/>
          <w:bCs w:val="0"/>
        </w:rPr>
        <w:tab/>
      </w:r>
      <w:r>
        <w:fldChar w:fldCharType="begin"/>
      </w:r>
      <w:r>
        <w:instrText xml:space="preserve"> PAGEREF _Toc939404115 \h </w:instrText>
      </w:r>
      <w:r>
        <w:fldChar w:fldCharType="separate"/>
      </w:r>
      <w:r>
        <w:rPr>
          <w:b w:val="0"/>
          <w:bCs w:val="0"/>
        </w:rPr>
        <w:t>44</w:t>
      </w:r>
      <w:r>
        <w:fldChar w:fldCharType="end"/>
      </w:r>
      <w:r>
        <w:fldChar w:fldCharType="end"/>
      </w:r>
    </w:p>
    <w:p w14:paraId="047214B3">
      <w:pPr>
        <w:pStyle w:val="17"/>
        <w:tabs>
          <w:tab w:val="right" w:leader="dot" w:pos="9354"/>
          <w:tab w:val="clear" w:pos="9344"/>
        </w:tabs>
        <w:rPr>
          <w:b w:val="0"/>
          <w:bCs w:val="0"/>
        </w:rPr>
      </w:pPr>
      <w:r>
        <w:fldChar w:fldCharType="begin"/>
      </w:r>
      <w:r>
        <w:instrText xml:space="preserve"> HYPERLINK \l _Toc265188061 </w:instrText>
      </w:r>
      <w:r>
        <w:fldChar w:fldCharType="separate"/>
      </w:r>
      <w:r>
        <w:rPr>
          <w:b w:val="0"/>
          <w:bCs w:val="0"/>
        </w:rPr>
        <w:t>6.1 Warehousing Business Function Testing</w:t>
      </w:r>
      <w:r>
        <w:rPr>
          <w:b w:val="0"/>
          <w:bCs w:val="0"/>
        </w:rPr>
        <w:tab/>
      </w:r>
      <w:r>
        <w:fldChar w:fldCharType="begin"/>
      </w:r>
      <w:r>
        <w:instrText xml:space="preserve"> PAGEREF _Toc265188061 \h </w:instrText>
      </w:r>
      <w:r>
        <w:fldChar w:fldCharType="separate"/>
      </w:r>
      <w:r>
        <w:rPr>
          <w:b w:val="0"/>
          <w:bCs w:val="0"/>
        </w:rPr>
        <w:t>44</w:t>
      </w:r>
      <w:r>
        <w:fldChar w:fldCharType="end"/>
      </w:r>
      <w:r>
        <w:fldChar w:fldCharType="end"/>
      </w:r>
    </w:p>
    <w:p w14:paraId="4551C500">
      <w:pPr>
        <w:pStyle w:val="17"/>
        <w:tabs>
          <w:tab w:val="right" w:leader="dot" w:pos="9354"/>
          <w:tab w:val="clear" w:pos="9344"/>
        </w:tabs>
        <w:rPr>
          <w:b w:val="0"/>
          <w:bCs w:val="0"/>
        </w:rPr>
      </w:pPr>
      <w:r>
        <w:fldChar w:fldCharType="begin"/>
      </w:r>
      <w:r>
        <w:instrText xml:space="preserve"> HYPERLINK \l _Toc987173702 </w:instrText>
      </w:r>
      <w:r>
        <w:fldChar w:fldCharType="separate"/>
      </w:r>
      <w:r>
        <w:rPr>
          <w:b w:val="0"/>
          <w:bCs w:val="0"/>
        </w:rPr>
        <w:t>6.2 System Management and Access Control Testing</w:t>
      </w:r>
      <w:r>
        <w:rPr>
          <w:b w:val="0"/>
          <w:bCs w:val="0"/>
        </w:rPr>
        <w:tab/>
      </w:r>
      <w:r>
        <w:fldChar w:fldCharType="begin"/>
      </w:r>
      <w:r>
        <w:instrText xml:space="preserve"> PAGEREF _Toc987173702 \h </w:instrText>
      </w:r>
      <w:r>
        <w:fldChar w:fldCharType="separate"/>
      </w:r>
      <w:r>
        <w:rPr>
          <w:b w:val="0"/>
          <w:bCs w:val="0"/>
        </w:rPr>
        <w:t>45</w:t>
      </w:r>
      <w:r>
        <w:fldChar w:fldCharType="end"/>
      </w:r>
      <w:r>
        <w:fldChar w:fldCharType="end"/>
      </w:r>
    </w:p>
    <w:p w14:paraId="251A1A1E">
      <w:pPr>
        <w:pStyle w:val="17"/>
        <w:tabs>
          <w:tab w:val="right" w:leader="dot" w:pos="9354"/>
          <w:tab w:val="clear" w:pos="9344"/>
        </w:tabs>
        <w:rPr>
          <w:b w:val="0"/>
          <w:bCs w:val="0"/>
        </w:rPr>
      </w:pPr>
      <w:r>
        <w:fldChar w:fldCharType="begin"/>
      </w:r>
      <w:r>
        <w:instrText xml:space="preserve"> HYPERLINK \l _Toc2117236439 </w:instrText>
      </w:r>
      <w:r>
        <w:fldChar w:fldCharType="separate"/>
      </w:r>
      <w:r>
        <w:rPr>
          <w:b w:val="0"/>
          <w:bCs w:val="0"/>
        </w:rPr>
        <w:t>6.3 Consistency and Asynchronous Export Testing</w:t>
      </w:r>
      <w:r>
        <w:rPr>
          <w:b w:val="0"/>
          <w:bCs w:val="0"/>
        </w:rPr>
        <w:tab/>
      </w:r>
      <w:r>
        <w:fldChar w:fldCharType="begin"/>
      </w:r>
      <w:r>
        <w:instrText xml:space="preserve"> PAGEREF _Toc2117236439 \h </w:instrText>
      </w:r>
      <w:r>
        <w:fldChar w:fldCharType="separate"/>
      </w:r>
      <w:r>
        <w:rPr>
          <w:b w:val="0"/>
          <w:bCs w:val="0"/>
        </w:rPr>
        <w:t>46</w:t>
      </w:r>
      <w:r>
        <w:fldChar w:fldCharType="end"/>
      </w:r>
      <w:r>
        <w:fldChar w:fldCharType="end"/>
      </w:r>
    </w:p>
    <w:p w14:paraId="0AC965D8">
      <w:pPr>
        <w:pStyle w:val="17"/>
        <w:tabs>
          <w:tab w:val="right" w:leader="dot" w:pos="9354"/>
          <w:tab w:val="clear" w:pos="9344"/>
        </w:tabs>
        <w:rPr>
          <w:b w:val="0"/>
          <w:bCs w:val="0"/>
        </w:rPr>
      </w:pPr>
      <w:r>
        <w:fldChar w:fldCharType="begin"/>
      </w:r>
      <w:r>
        <w:instrText xml:space="preserve"> HYPERLINK \l _Toc588799483 </w:instrText>
      </w:r>
      <w:r>
        <w:fldChar w:fldCharType="separate"/>
      </w:r>
      <w:r>
        <w:rPr>
          <w:b w:val="0"/>
          <w:bCs w:val="0"/>
        </w:rPr>
        <w:t>6.4 Enterprise Application Validation</w:t>
      </w:r>
      <w:r>
        <w:rPr>
          <w:b w:val="0"/>
          <w:bCs w:val="0"/>
        </w:rPr>
        <w:tab/>
      </w:r>
      <w:r>
        <w:fldChar w:fldCharType="begin"/>
      </w:r>
      <w:r>
        <w:instrText xml:space="preserve"> PAGEREF _Toc588799483 \h </w:instrText>
      </w:r>
      <w:r>
        <w:fldChar w:fldCharType="separate"/>
      </w:r>
      <w:r>
        <w:rPr>
          <w:b w:val="0"/>
          <w:bCs w:val="0"/>
        </w:rPr>
        <w:t>47</w:t>
      </w:r>
      <w:r>
        <w:fldChar w:fldCharType="end"/>
      </w:r>
      <w:r>
        <w:fldChar w:fldCharType="end"/>
      </w:r>
    </w:p>
    <w:p w14:paraId="33C7DAF0">
      <w:pPr>
        <w:pStyle w:val="16"/>
        <w:tabs>
          <w:tab w:val="right" w:leader="dot" w:pos="9354"/>
        </w:tabs>
        <w:rPr>
          <w:b w:val="0"/>
          <w:bCs w:val="0"/>
        </w:rPr>
      </w:pPr>
      <w:r>
        <w:fldChar w:fldCharType="begin"/>
      </w:r>
      <w:r>
        <w:instrText xml:space="preserve"> HYPERLINK \l _Toc348265405 </w:instrText>
      </w:r>
      <w:r>
        <w:fldChar w:fldCharType="separate"/>
      </w:r>
      <w:r>
        <w:rPr>
          <w:b w:val="0"/>
          <w:bCs w:val="0"/>
        </w:rPr>
        <w:t>7 Conclusion and Outlook</w:t>
      </w:r>
      <w:r>
        <w:rPr>
          <w:b w:val="0"/>
          <w:bCs w:val="0"/>
        </w:rPr>
        <w:tab/>
      </w:r>
      <w:r>
        <w:fldChar w:fldCharType="begin"/>
      </w:r>
      <w:r>
        <w:instrText xml:space="preserve"> PAGEREF _Toc348265405 \h </w:instrText>
      </w:r>
      <w:r>
        <w:fldChar w:fldCharType="separate"/>
      </w:r>
      <w:r>
        <w:rPr>
          <w:b w:val="0"/>
          <w:bCs w:val="0"/>
        </w:rPr>
        <w:t>48</w:t>
      </w:r>
      <w:r>
        <w:fldChar w:fldCharType="end"/>
      </w:r>
      <w:r>
        <w:fldChar w:fldCharType="end"/>
      </w:r>
    </w:p>
    <w:p w14:paraId="6AB782F3">
      <w:pPr>
        <w:pStyle w:val="17"/>
        <w:tabs>
          <w:tab w:val="right" w:leader="dot" w:pos="9354"/>
          <w:tab w:val="clear" w:pos="9344"/>
        </w:tabs>
        <w:rPr>
          <w:b w:val="0"/>
          <w:bCs w:val="0"/>
        </w:rPr>
      </w:pPr>
      <w:r>
        <w:fldChar w:fldCharType="begin"/>
      </w:r>
      <w:r>
        <w:instrText xml:space="preserve"> HYPERLINK \l _Toc1403723760 </w:instrText>
      </w:r>
      <w:r>
        <w:fldChar w:fldCharType="separate"/>
      </w:r>
      <w:r>
        <w:rPr>
          <w:b w:val="0"/>
          <w:bCs w:val="0"/>
        </w:rPr>
        <w:t>7.1 Conclusion</w:t>
      </w:r>
      <w:r>
        <w:rPr>
          <w:b w:val="0"/>
          <w:bCs w:val="0"/>
        </w:rPr>
        <w:tab/>
      </w:r>
      <w:r>
        <w:fldChar w:fldCharType="begin"/>
      </w:r>
      <w:r>
        <w:instrText xml:space="preserve"> PAGEREF _Toc1403723760 \h </w:instrText>
      </w:r>
      <w:r>
        <w:fldChar w:fldCharType="separate"/>
      </w:r>
      <w:r>
        <w:rPr>
          <w:b w:val="0"/>
          <w:bCs w:val="0"/>
        </w:rPr>
        <w:t>48</w:t>
      </w:r>
      <w:r>
        <w:fldChar w:fldCharType="end"/>
      </w:r>
      <w:r>
        <w:fldChar w:fldCharType="end"/>
      </w:r>
    </w:p>
    <w:p w14:paraId="0FB06316">
      <w:pPr>
        <w:pStyle w:val="17"/>
        <w:tabs>
          <w:tab w:val="right" w:leader="dot" w:pos="9354"/>
          <w:tab w:val="clear" w:pos="9344"/>
        </w:tabs>
        <w:rPr>
          <w:b w:val="0"/>
          <w:bCs w:val="0"/>
        </w:rPr>
      </w:pPr>
      <w:r>
        <w:fldChar w:fldCharType="begin"/>
      </w:r>
      <w:r>
        <w:instrText xml:space="preserve"> HYPERLINK \l _Toc129888378 </w:instrText>
      </w:r>
      <w:r>
        <w:fldChar w:fldCharType="separate"/>
      </w:r>
      <w:r>
        <w:rPr>
          <w:b w:val="0"/>
          <w:bCs w:val="0"/>
        </w:rPr>
        <w:t>7.2 Outlook</w:t>
      </w:r>
      <w:r>
        <w:rPr>
          <w:b w:val="0"/>
          <w:bCs w:val="0"/>
        </w:rPr>
        <w:tab/>
      </w:r>
      <w:r>
        <w:fldChar w:fldCharType="begin"/>
      </w:r>
      <w:r>
        <w:instrText xml:space="preserve"> PAGEREF _Toc129888378 \h </w:instrText>
      </w:r>
      <w:r>
        <w:fldChar w:fldCharType="separate"/>
      </w:r>
      <w:r>
        <w:rPr>
          <w:b w:val="0"/>
          <w:bCs w:val="0"/>
        </w:rPr>
        <w:t>48</w:t>
      </w:r>
      <w:r>
        <w:fldChar w:fldCharType="end"/>
      </w:r>
      <w:r>
        <w:fldChar w:fldCharType="end"/>
      </w:r>
    </w:p>
    <w:p w14:paraId="61F36545">
      <w:pPr>
        <w:pStyle w:val="16"/>
        <w:tabs>
          <w:tab w:val="right" w:leader="dot" w:pos="9354"/>
        </w:tabs>
        <w:rPr>
          <w:b w:val="0"/>
          <w:bCs w:val="0"/>
        </w:rPr>
      </w:pPr>
      <w:r>
        <w:fldChar w:fldCharType="begin"/>
      </w:r>
      <w:r>
        <w:instrText xml:space="preserve"> HYPERLINK \l _Toc1190583694 </w:instrText>
      </w:r>
      <w:r>
        <w:fldChar w:fldCharType="separate"/>
      </w:r>
      <w:r>
        <w:rPr>
          <w:b w:val="0"/>
          <w:bCs w:val="0"/>
        </w:rPr>
        <w:t>References</w:t>
      </w:r>
      <w:r>
        <w:rPr>
          <w:b w:val="0"/>
          <w:bCs w:val="0"/>
        </w:rPr>
        <w:tab/>
      </w:r>
      <w:r>
        <w:fldChar w:fldCharType="begin"/>
      </w:r>
      <w:r>
        <w:instrText xml:space="preserve"> PAGEREF _Toc1190583694 \h </w:instrText>
      </w:r>
      <w:r>
        <w:fldChar w:fldCharType="separate"/>
      </w:r>
      <w:r>
        <w:rPr>
          <w:b w:val="0"/>
          <w:bCs w:val="0"/>
        </w:rPr>
        <w:t>50</w:t>
      </w:r>
      <w:r>
        <w:fldChar w:fldCharType="end"/>
      </w:r>
      <w:r>
        <w:fldChar w:fldCharType="end"/>
      </w:r>
    </w:p>
    <w:p w14:paraId="06EA71FD">
      <w:pPr>
        <w:pStyle w:val="16"/>
        <w:tabs>
          <w:tab w:val="right" w:leader="dot" w:pos="9354"/>
        </w:tabs>
        <w:rPr>
          <w:b w:val="0"/>
          <w:bCs w:val="0"/>
        </w:rPr>
      </w:pPr>
      <w:r>
        <w:fldChar w:fldCharType="begin"/>
      </w:r>
      <w:r>
        <w:instrText xml:space="preserve"> HYPERLINK \l _Toc2035005959 </w:instrText>
      </w:r>
      <w:r>
        <w:fldChar w:fldCharType="separate"/>
      </w:r>
      <w:r>
        <w:rPr>
          <w:b w:val="0"/>
          <w:bCs w:val="0"/>
        </w:rPr>
        <w:t>Acknowledgments</w:t>
      </w:r>
      <w:r>
        <w:rPr>
          <w:b w:val="0"/>
          <w:bCs w:val="0"/>
        </w:rPr>
        <w:tab/>
      </w:r>
      <w:r>
        <w:fldChar w:fldCharType="begin"/>
      </w:r>
      <w:r>
        <w:instrText xml:space="preserve"> PAGEREF _Toc2035005959 \h </w:instrText>
      </w:r>
      <w:r>
        <w:fldChar w:fldCharType="separate"/>
      </w:r>
      <w:r>
        <w:rPr>
          <w:b w:val="0"/>
          <w:bCs w:val="0"/>
        </w:rPr>
        <w:t>52</w:t>
      </w:r>
      <w:r>
        <w:fldChar w:fldCharType="end"/>
      </w:r>
      <w:r>
        <w:fldChar w:fldCharType="end"/>
      </w:r>
    </w:p>
    <w:p w14:paraId="27EA614E">
      <w:pPr>
        <w:ind w:left="0" w:leftChars="0" w:firstLine="0" w:firstLineChars="0"/>
        <w:rPr>
          <w:rFonts w:hint="eastAsia" w:ascii="Times New Roman" w:hAnsi="Times New Roman" w:eastAsia="Times New Roman" w:cs="Times New Roman"/>
        </w:rPr>
      </w:pPr>
      <w:r>
        <w:fldChar w:fldCharType="end"/>
      </w:r>
    </w:p>
    <w:p w14:paraId="5F7910BA">
      <w:pPr>
        <w:ind w:left="0" w:leftChars="0" w:firstLine="0" w:firstLineChars="0"/>
        <w:sectPr>
          <w:pgSz w:w="11906" w:h="16838"/>
          <w:pgMar w:top="1134" w:right="1134" w:bottom="1134" w:left="1134" w:header="851" w:footer="992" w:gutter="284"/>
          <w:pgBorders>
            <w:top w:val="none" w:sz="0" w:space="0"/>
            <w:left w:val="none" w:sz="0" w:space="0"/>
            <w:bottom w:val="none" w:sz="0" w:space="0"/>
            <w:right w:val="none" w:sz="0" w:space="0"/>
          </w:pgBorders>
          <w:pgNumType w:start="1"/>
          <w:cols w:space="708" w:num="1"/>
          <w:docGrid w:type="lines" w:linePitch="312" w:charSpace="0"/>
        </w:sectPr>
      </w:pPr>
    </w:p>
    <w:p w14:paraId="3662050D">
      <w:pPr>
        <w:pStyle w:val="2"/>
      </w:pPr>
      <w:bookmarkStart w:id="0" w:name="_Toc010002"/>
      <w:bookmarkStart w:id="1" w:name="_Toc1870690116"/>
      <w:bookmarkStart w:id="2" w:name="_Toc1725568733"/>
      <w:bookmarkStart w:id="3" w:name="绪论"/>
      <w:r>
        <w:t>1 绪论</w:t>
      </w:r>
      <w:bookmarkEnd w:id="0"/>
      <w:bookmarkEnd w:id="1"/>
      <w:bookmarkEnd w:id="2"/>
    </w:p>
    <w:p w14:paraId="1B40FEDF">
      <w:pPr>
        <w:pStyle w:val="3"/>
      </w:pPr>
      <w:bookmarkStart w:id="4" w:name="_Toc2014526443"/>
      <w:bookmarkStart w:id="5" w:name="_Toc1528187532"/>
      <w:bookmarkStart w:id="6" w:name="_Toc010003"/>
      <w:bookmarkStart w:id="7" w:name="研究背景及意义"/>
      <w:r>
        <w:t>1.1 研究背景及意义</w:t>
      </w:r>
      <w:bookmarkEnd w:id="4"/>
      <w:bookmarkEnd w:id="5"/>
      <w:bookmarkEnd w:id="6"/>
    </w:p>
    <w:p w14:paraId="53AA789E">
      <w:pPr>
        <w:spacing w:before="0" w:after="0" w:line="360" w:lineRule="auto"/>
        <w:ind w:firstLine="480"/>
        <w:jc w:val="both"/>
        <w:rPr>
          <w:rFonts w:hint="eastAsia" w:eastAsia="宋体"/>
          <w:lang w:eastAsia="zh-CN"/>
        </w:rPr>
      </w:pPr>
      <w:r>
        <w:t xml:space="preserve">玻璃供应商的仓储现场并不是单纯记录“货物进出”的场景. 一笔入库业务往往要同时关联供应商、仓库、车号、产品级别、片数、包数和入库金额；一笔出库业务又可能对应正常发货、二次加工或破损处理. 在企业实际操作中，客户资料、供应商资料、银行卡、车辆、车队、科目和公司车辆等基础信息还会继续影响订单、运费、付款和统计结果. 若这些信息分别保存在纸质单据、Excel表格和零散系统中，库存数量、金额口径、运输信息和订单执行状态很容易出现断点，后续查询和责任追溯也会受到影响. </w:t>
      </w:r>
    </w:p>
    <w:p w14:paraId="71DDA4E3">
      <w:pPr>
        <w:spacing w:before="0" w:after="0" w:line="360" w:lineRule="auto"/>
        <w:ind w:firstLine="480"/>
        <w:jc w:val="both"/>
        <w:rPr>
          <w:rFonts w:hint="eastAsia" w:eastAsia="宋体"/>
          <w:lang w:eastAsia="zh-CN"/>
        </w:rPr>
      </w:pPr>
      <w:r>
        <w:t xml:space="preserve">与通用仓储相比，玻璃产品的管理难点集中在规格和流转过程上. 厚度、长度、宽度、片数、包数等字段共同决定库存明细的业务含义，不同批次之间不能简单合并；同时，库存形成、审核、出库和统计之间存在较强的先后关系，任何一个环节记录不完整，都会影响仓库余额、仓库变动明细和订单履约状态的判断. 因此，玻璃供应链WMS需要把主数据、库存数据和统计数据放在同一条业务链中维护. </w:t>
      </w:r>
    </w:p>
    <w:p w14:paraId="59AD6EB7">
      <w:pPr>
        <w:spacing w:before="0" w:after="0" w:line="360" w:lineRule="auto"/>
        <w:ind w:firstLine="480"/>
        <w:jc w:val="both"/>
        <w:rPr>
          <w:rFonts w:hint="eastAsia" w:eastAsia="宋体"/>
          <w:lang w:eastAsia="zh-CN"/>
        </w:rPr>
      </w:pPr>
      <w:r>
        <w:t xml:space="preserve">基于上述需求，本文建设的系统把仓库、客户、供应商、银行卡、车辆、车队、科目、公司车辆、产品级别、订单、入库主单、库存明细、出库记录和订单运费作为主要业务对象，并围绕这些对象设计数据表、功能模块和业务流程. 系统的价值不只在于替代人工录入，还在于让客户来源、供应来源、运输承运、资金账户、库存状态、出库去向和统计结果能够互相印证，使管理人员能够在同一平台中完成查询、审核、导出和异常回查. </w:t>
      </w:r>
    </w:p>
    <w:p w14:paraId="2311767B">
      <w:pPr>
        <w:spacing w:before="0" w:after="0" w:line="360" w:lineRule="auto"/>
        <w:ind w:firstLine="480"/>
        <w:jc w:val="both"/>
        <w:rPr>
          <w:rFonts w:hint="eastAsia" w:ascii="Times New Roman" w:hAnsi="Times New Roman" w:eastAsia="宋体"/>
          <w:sz w:val="24"/>
          <w:lang w:eastAsia="zh-CN"/>
        </w:rPr>
      </w:pPr>
      <w:r>
        <w:t xml:space="preserve">从工程落地角度看，中小规模玻璃供应链企业并不适合一开始就引入过重的分布式体系. 企业更关心系统能否在现有人员和服务器条件下稳定运行，后续维护是否容易，库存数据在录入、审核和导出之间是否保持一致. 基于这一判断，本文选择Spring Boot模块化单体方案，并在其中保留权限、缓存、消息和异步导出能力，使系统既能覆盖当前仓储流程，也便于后续按业务需要扩展. </w:t>
      </w:r>
    </w:p>
    <w:bookmarkEnd w:id="7"/>
    <w:p w14:paraId="50F708B4">
      <w:pPr>
        <w:pStyle w:val="3"/>
      </w:pPr>
      <w:bookmarkStart w:id="8" w:name="_Toc918748899"/>
      <w:bookmarkStart w:id="9" w:name="_Toc343432204"/>
      <w:bookmarkStart w:id="10" w:name="_Toc010004"/>
      <w:bookmarkStart w:id="11" w:name="国内外研究动态"/>
      <w:r>
        <w:t>1.2 国内外研究动态</w:t>
      </w:r>
      <w:bookmarkEnd w:id="8"/>
      <w:bookmarkEnd w:id="9"/>
      <w:bookmarkEnd w:id="10"/>
    </w:p>
    <w:p w14:paraId="138EDD23">
      <w:pPr>
        <w:spacing w:before="0" w:after="0" w:line="360" w:lineRule="auto"/>
        <w:ind w:firstLine="480"/>
        <w:jc w:val="both"/>
        <w:rPr>
          <w:rFonts w:hint="eastAsia" w:eastAsia="宋体"/>
          <w:lang w:eastAsia="zh-CN"/>
        </w:rPr>
      </w:pPr>
      <w:r>
        <w:t xml:space="preserve">WMS相关研究通常从流程标准化、库存可视化和供应链协同三个方向展开. 国外实践较早把入库上架、拣选出库、盘点和ERP、TMS、MES对接放在同一套仓储体系中讨论，条码、RFID、自动分拣和实时采集也较多用于提升履约效率. 上述研究为仓储系统提供了成熟流程参考，但其对象多为制造、电商或自动化仓库，较少直接面对玻璃供应商的规格和金额管理问题. </w:t>
      </w:r>
      <w:r>
        <w:rPr>
          <w:vertAlign w:val="superscript"/>
        </w:rPr>
        <w:t>[</w:t>
      </w:r>
      <w:r>
        <w:fldChar w:fldCharType="begin"/>
      </w:r>
      <w:r>
        <w:instrText xml:space="preserve"> REF Ref_1 \r \h </w:instrText>
      </w:r>
      <w:r>
        <w:fldChar w:fldCharType="separate"/>
      </w:r>
      <w:r>
        <w:rPr>
          <w:vertAlign w:val="superscript"/>
        </w:rPr>
        <w:t>1</w:t>
      </w:r>
      <w:r>
        <w:rPr>
          <w:vertAlign w:val="superscript"/>
        </w:rPr>
        <w:fldChar w:fldCharType="end"/>
      </w:r>
      <w:r>
        <w:rPr>
          <w:vertAlign w:val="superscript"/>
        </w:rPr>
        <w:t>]</w:t>
      </w:r>
    </w:p>
    <w:p w14:paraId="316B2702">
      <w:pPr>
        <w:spacing w:before="0" w:after="0" w:line="360" w:lineRule="auto"/>
        <w:ind w:firstLine="480"/>
        <w:jc w:val="both"/>
        <w:rPr>
          <w:rFonts w:hint="eastAsia" w:eastAsia="宋体"/>
          <w:lang w:eastAsia="zh-CN"/>
        </w:rPr>
      </w:pPr>
      <w:r>
        <w:t>国内WMS应用</w:t>
      </w:r>
      <w:r>
        <w:rPr>
          <w:rFonts w:hint="eastAsia"/>
          <w:lang w:val="en-US" w:eastAsia="zh-CN"/>
        </w:rPr>
        <w:t>会</w:t>
      </w:r>
      <w:r>
        <w:t>更多</w:t>
      </w:r>
      <w:r>
        <w:rPr>
          <w:rFonts w:hint="eastAsia"/>
          <w:lang w:val="en-US" w:eastAsia="zh-CN"/>
        </w:rPr>
        <w:t>的</w:t>
      </w:r>
      <w:r>
        <w:t>与企业数字化改造结合，</w:t>
      </w:r>
      <w:r>
        <w:rPr>
          <w:rFonts w:hint="eastAsia"/>
          <w:lang w:val="en-US" w:eastAsia="zh-CN"/>
        </w:rPr>
        <w:t>其</w:t>
      </w:r>
      <w:r>
        <w:t>关注点集中在减少人工</w:t>
      </w:r>
      <w:r>
        <w:rPr>
          <w:rFonts w:hint="eastAsia"/>
          <w:lang w:val="en-US" w:eastAsia="zh-CN"/>
        </w:rPr>
        <w:t>记账</w:t>
      </w:r>
      <w:r>
        <w:t>、提高账实核对效率、缩短统计滞后时间以及复用业务数据. 对中小规模企业来说，系统能否快速贴合现有流程、部署维护是否可控，往往比架构是否足够复杂更重要. 因此，模块边界清楚、事务集中处理、部署成本较低的模块化单体方案</w:t>
      </w:r>
      <w:r>
        <w:rPr>
          <w:vertAlign w:val="superscript"/>
        </w:rPr>
        <w:t>[</w:t>
      </w:r>
      <w:r>
        <w:fldChar w:fldCharType="begin"/>
      </w:r>
      <w:r>
        <w:instrText xml:space="preserve"> REF Ref_2 \r \h </w:instrText>
      </w:r>
      <w:r>
        <w:fldChar w:fldCharType="separate"/>
      </w:r>
      <w:r>
        <w:rPr>
          <w:vertAlign w:val="superscript"/>
        </w:rPr>
        <w:t>2</w:t>
      </w:r>
      <w:r>
        <w:rPr>
          <w:vertAlign w:val="superscript"/>
        </w:rPr>
        <w:fldChar w:fldCharType="end"/>
      </w:r>
      <w:r>
        <w:rPr>
          <w:vertAlign w:val="superscript"/>
        </w:rPr>
        <w:t>]</w:t>
      </w:r>
      <w:r>
        <w:t xml:space="preserve">，在这类仓储场景中仍然具有实际价值. </w:t>
      </w:r>
    </w:p>
    <w:p w14:paraId="52C83276">
      <w:pPr>
        <w:spacing w:before="0" w:after="0" w:line="360" w:lineRule="auto"/>
        <w:ind w:firstLine="480"/>
        <w:jc w:val="both"/>
        <w:rPr>
          <w:rFonts w:hint="eastAsia" w:eastAsia="宋体"/>
          <w:lang w:eastAsia="zh-CN"/>
        </w:rPr>
      </w:pPr>
      <w:r>
        <w:t xml:space="preserve">玻璃供应商的仓储管理还有一些通用WMS不容易覆盖的细节. 玻璃产品既有厚度、长度、宽度等规格差异，也存在破损、二次加工、库存金额、审核附件等过程性信息. 若只按普通收发存模型处理，库存明细中的供应来源、价格、可出库数量和出库类型都容易被弱化. </w:t>
      </w:r>
      <w:r>
        <w:rPr>
          <w:vertAlign w:val="superscript"/>
        </w:rPr>
        <w:t>[</w:t>
      </w:r>
      <w:r>
        <w:fldChar w:fldCharType="begin"/>
      </w:r>
      <w:r>
        <w:instrText xml:space="preserve"> REF Ref_3 \r \h </w:instrText>
      </w:r>
      <w:r>
        <w:fldChar w:fldCharType="separate"/>
      </w:r>
      <w:r>
        <w:rPr>
          <w:vertAlign w:val="superscript"/>
        </w:rPr>
        <w:t>3</w:t>
      </w:r>
      <w:r>
        <w:rPr>
          <w:vertAlign w:val="superscript"/>
        </w:rPr>
        <w:fldChar w:fldCharType="end"/>
      </w:r>
      <w:r>
        <w:rPr>
          <w:vertAlign w:val="superscript"/>
        </w:rPr>
        <w:t>]</w:t>
      </w:r>
    </w:p>
    <w:p w14:paraId="4050E32A">
      <w:pPr>
        <w:spacing w:before="0" w:after="0" w:line="360" w:lineRule="auto"/>
        <w:ind w:firstLine="480"/>
        <w:jc w:val="both"/>
        <w:rPr>
          <w:rFonts w:hint="eastAsia" w:eastAsia="宋体"/>
          <w:lang w:eastAsia="zh-CN"/>
        </w:rPr>
      </w:pPr>
      <w:r>
        <w:t>因此，论文把主数据、订单协同、库存形成、出库流向、余额统计和异步导出放在同一业务链中分析</w:t>
      </w:r>
      <w:r>
        <w:rPr>
          <w:rFonts w:hint="eastAsia"/>
          <w:lang w:val="en-US" w:eastAsia="zh-CN"/>
        </w:rPr>
        <w:t>，</w:t>
      </w:r>
      <w:r>
        <w:t>处理的目的</w:t>
      </w:r>
      <w:r>
        <w:rPr>
          <w:rFonts w:hint="eastAsia"/>
          <w:lang w:val="en-US" w:eastAsia="zh-CN"/>
        </w:rPr>
        <w:t>就</w:t>
      </w:r>
      <w:r>
        <w:t xml:space="preserve">是让玻璃规格追踪、库存金额核对和订单执行回查能够在一个系统内完成，而不是分散到多个表格或人工记录中. </w:t>
      </w:r>
    </w:p>
    <w:bookmarkEnd w:id="11"/>
    <w:p w14:paraId="53555656">
      <w:pPr>
        <w:pStyle w:val="3"/>
      </w:pPr>
      <w:bookmarkStart w:id="12" w:name="_Toc010005"/>
      <w:bookmarkStart w:id="13" w:name="_Toc1005323563"/>
      <w:bookmarkStart w:id="14" w:name="_Toc1776493139"/>
      <w:bookmarkStart w:id="15" w:name="研究内容"/>
      <w:r>
        <w:t>1.3 研究内容</w:t>
      </w:r>
      <w:bookmarkEnd w:id="12"/>
      <w:bookmarkEnd w:id="13"/>
      <w:bookmarkEnd w:id="14"/>
    </w:p>
    <w:p w14:paraId="004EA7FF">
      <w:pPr>
        <w:spacing w:before="0" w:after="0" w:line="360" w:lineRule="auto"/>
        <w:ind w:firstLine="480"/>
        <w:jc w:val="both"/>
        <w:rPr>
          <w:rFonts w:hint="eastAsia" w:eastAsia="宋体"/>
          <w:lang w:eastAsia="zh-CN"/>
        </w:rPr>
      </w:pPr>
      <w:r>
        <w:t xml:space="preserve">本文的研究围绕玻璃供应商已经投入使用的业务流程展开，系统目前已应用于企业日常操作，主要承接客户与供应商建档、银行卡维护、车辆与车队维护、科目维护、订单查询、入库登记、出库处理、库存审核、运费记录、统计核对和报表导出等工作. 论文关注的重点不是通用WMS菜单是否齐全，而是企业在多主体、多车辆、多账户、多规格和高频出入库条件下，如何让订单、运输、资金、库存、出库和统计保持连续. 主要工作包括以下内容. </w:t>
      </w:r>
    </w:p>
    <w:p w14:paraId="4D664EE3">
      <w:pPr>
        <w:spacing w:before="0" w:after="0" w:line="360" w:lineRule="auto"/>
        <w:ind w:firstLine="480"/>
        <w:jc w:val="both"/>
        <w:rPr>
          <w:rFonts w:hint="eastAsia" w:eastAsia="宋体"/>
          <w:lang w:eastAsia="zh-CN"/>
        </w:rPr>
      </w:pPr>
      <w:r>
        <w:t xml:space="preserve">第一，梳理企业实际岗位和业务对象. 论文结合企业已经使用的客户维护、供应商维护、银行卡维护、车辆维护、车队维护、科目维护、采购入库、库存维护、订单发货、运费登记、库存审核和统计导出等场景，明确超级管理员、财务人员、后勤人员和业务员的职责差异，并确定客户、供应商、银行卡、车辆、车队、科目、仓库、产品级别、订单、库存明细和出库记录在业务链中的位置. </w:t>
      </w:r>
    </w:p>
    <w:p w14:paraId="153E6D6E">
      <w:pPr>
        <w:spacing w:before="0" w:after="0" w:line="360" w:lineRule="auto"/>
        <w:ind w:firstLine="480"/>
        <w:jc w:val="both"/>
        <w:rPr>
          <w:rFonts w:hint="eastAsia" w:eastAsia="宋体"/>
          <w:lang w:eastAsia="zh-CN"/>
        </w:rPr>
      </w:pPr>
      <w:r>
        <w:t>第二，完成系统架构和数据模型设计. 后端以Spring Boot组织模块化单体应用</w:t>
      </w:r>
      <w:r>
        <w:rPr>
          <w:rFonts w:hint="default"/>
          <w:vertAlign w:val="superscript"/>
          <w:lang w:val="en-US"/>
        </w:rPr>
        <w:fldChar w:fldCharType="begin"/>
      </w:r>
      <w:r>
        <w:instrText xml:space="preserve"> REF _Ref1955009988 \w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 xml:space="preserve">，前端使用Vue.js和Element UI承载业务页面，MySQL与MyBatis-Plus负责核心数据读写，Redis、RabbitMQ和Quartz分别处理缓存、异步任务和巡检恢复. 数据模型重点围绕库存主单、库存明细、订单明细和出库记录之间的关系展开. </w:t>
      </w:r>
    </w:p>
    <w:p w14:paraId="32F72233">
      <w:pPr>
        <w:spacing w:before="0" w:after="0" w:line="360" w:lineRule="auto"/>
        <w:ind w:firstLine="480"/>
        <w:jc w:val="both"/>
        <w:rPr>
          <w:rFonts w:hint="eastAsia" w:eastAsia="宋体"/>
          <w:lang w:eastAsia="zh-CN"/>
        </w:rPr>
      </w:pPr>
      <w:r>
        <w:t xml:space="preserve">第三，落地并验证仓储核心功能. 系统已在企业操作中用于基础资料维护、订单录入与查询、入库登记、库存明细维护、正常发货出库、加工后出库、破损出库、库存审核、附件追溯、仓库余额统计、仓库变动明细和Excel导出等环节，并保持页面操作和接口调用口径一致. </w:t>
      </w:r>
    </w:p>
    <w:p w14:paraId="7108CC17">
      <w:pPr>
        <w:spacing w:before="0" w:after="0" w:line="360" w:lineRule="auto"/>
        <w:ind w:firstLine="480"/>
        <w:jc w:val="both"/>
        <w:rPr>
          <w:rFonts w:hint="eastAsia" w:eastAsia="宋体"/>
          <w:lang w:eastAsia="zh-CN"/>
        </w:rPr>
      </w:pPr>
      <w:r>
        <w:t xml:space="preserve">第四，处理企业使用中的一致性与反馈问题. 库存数量、库存金额和审核状态仍放在同步业务链路中校验；名称冗余刷新、统计生成和大批量导出等耗时任务则交给事件、消息和WebSocket进度反馈处理. 论文最后结合功能、权限、统计核对和企业实际应用情况检验系统可用性. </w:t>
      </w:r>
    </w:p>
    <w:p w14:paraId="406264AF">
      <w:pPr>
        <w:spacing w:before="0" w:after="0" w:line="360" w:lineRule="auto"/>
        <w:ind w:firstLine="480"/>
        <w:jc w:val="both"/>
        <w:rPr>
          <w:rFonts w:hint="eastAsia" w:eastAsia="宋体"/>
          <w:lang w:eastAsia="zh-CN"/>
        </w:rPr>
      </w:pPr>
      <w:r>
        <w:t>经过上述工作，论文形成了一套面向玻璃供应商的业务管理系统实现方案. 该方案已经在</w:t>
      </w:r>
      <w:r>
        <w:rPr>
          <w:rFonts w:hint="eastAsia"/>
          <w:lang w:val="en-US" w:eastAsia="zh-CN"/>
        </w:rPr>
        <w:t>德州某玻璃</w:t>
      </w:r>
      <w:r>
        <w:t xml:space="preserve">企业仓储和订单操作中发挥作用，把客户、供应商、车辆、车队、银行卡、科目、订单、库存和统计组织成连续数据链路，为玻璃供应链企业的信息化改造提供了可落地的参考. </w:t>
      </w:r>
    </w:p>
    <w:bookmarkEnd w:id="3"/>
    <w:bookmarkEnd w:id="15"/>
    <w:p w14:paraId="22DC6CB6">
      <w:pPr>
        <w:pStyle w:val="2"/>
      </w:pPr>
      <w:bookmarkStart w:id="16" w:name="_Toc010006"/>
      <w:bookmarkStart w:id="17" w:name="_Toc71788745"/>
      <w:bookmarkStart w:id="18" w:name="_Toc1055042932"/>
      <w:bookmarkStart w:id="19" w:name="系统关键技术"/>
      <w:r>
        <w:t>2 系统关键技术</w:t>
      </w:r>
      <w:bookmarkEnd w:id="16"/>
      <w:bookmarkEnd w:id="17"/>
      <w:bookmarkEnd w:id="18"/>
    </w:p>
    <w:p w14:paraId="09079D4D">
      <w:pPr>
        <w:pStyle w:val="3"/>
      </w:pPr>
      <w:bookmarkStart w:id="20" w:name="_Toc334084845"/>
      <w:bookmarkStart w:id="21" w:name="_Toc1815111248"/>
      <w:bookmarkStart w:id="22" w:name="_Toc010007"/>
      <w:bookmarkStart w:id="23" w:name="系统开发环境"/>
      <w:r>
        <w:t>2.1 系统开发环境</w:t>
      </w:r>
      <w:bookmarkEnd w:id="20"/>
      <w:bookmarkEnd w:id="21"/>
      <w:bookmarkEnd w:id="22"/>
    </w:p>
    <w:p w14:paraId="459EC43E">
      <w:pPr>
        <w:spacing w:before="0" w:after="0" w:line="360" w:lineRule="auto"/>
        <w:ind w:firstLine="480"/>
        <w:jc w:val="both"/>
        <w:rPr>
          <w:rFonts w:hint="eastAsia" w:eastAsia="宋体"/>
          <w:lang w:eastAsia="zh-CN"/>
        </w:rPr>
      </w:pPr>
      <w:r>
        <w:t>技术选型需要回到玻璃仓储业务本身来判断. 该系统既要处理仓库、订单、库存和统计等长期运行的核心数据，也要在有限开发周期内完成前后端协作，还要兼顾库存联动、异步导出和权限控制等工程问题</w:t>
      </w:r>
      <w:r>
        <w:rPr>
          <w:rFonts w:hint="default"/>
          <w:vertAlign w:val="superscript"/>
          <w:lang w:val="en-US"/>
        </w:rPr>
        <w:fldChar w:fldCharType="begin"/>
      </w:r>
      <w:r>
        <w:instrText xml:space="preserve"> REF Ref_4 \r \h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t xml:space="preserve">. 基于这些约束，本文采用“Spring Boot后端、Vue前端、MySQL持久化、Redis与RabbitMQ辅助支撑”的技术路线. 后端承担业务规则、鉴权和数据写入，前端承担页面操作、查询筛选和导出反馈，缓存与消息机制则用于登录态恢复、高频数据读取和异步任务处理. </w:t>
      </w:r>
    </w:p>
    <w:p w14:paraId="5F156DE9">
      <w:pPr>
        <w:spacing w:before="0" w:after="0" w:line="360" w:lineRule="auto"/>
        <w:ind w:firstLine="480"/>
        <w:jc w:val="both"/>
        <w:rPr>
          <w:rFonts w:hint="eastAsia" w:ascii="Times New Roman" w:hAnsi="Times New Roman" w:eastAsia="宋体"/>
          <w:sz w:val="24"/>
        </w:rPr>
      </w:pPr>
      <w:r>
        <w:t xml:space="preserve">从项目组织看，前端以Yarn Workspaces管理Monorepo工程，核心仓储业务集中在packages/order-system包中，并使用Vue 2、Vue Router、Vuex、Element UI、Vue CLI Service和Webpack完成后台页面开发与构建. 后端依据项目设计资料，选用Spring Boot 2.5.15、Spring Security、MyBatis-Plus、MySQL、Redis、RabbitMQ和Quartz构成模块化单体应用. 该组合更适合本课题的规模：一方面可以覆盖权限、库存维护和报表导出的需求，另一方面也避免过早引入复杂分布式架构带来的部署和一致性成本. 系统的开发环境与核心技术组件如表1所示. </w:t>
      </w:r>
    </w:p>
    <w:p w14:paraId="094FF4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表1 系统开发环境与核心组件</w:t>
      </w:r>
    </w:p>
    <w:tbl>
      <w:tblPr>
        <w:tblStyle w:val="21"/>
        <w:tblW w:w="0" w:type="auto"/>
        <w:jc w:val="center"/>
        <w:tblCaption w:val="表1 系统开发环境与核心组件"/>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90"/>
        <w:gridCol w:w="3190"/>
        <w:gridCol w:w="3190"/>
      </w:tblGrid>
      <w:tr w14:paraId="70CD49FC">
        <w:trPr>
          <w:tblHeader/>
          <w:jc w:val="center"/>
        </w:trPr>
        <w:tc>
          <w:tcPr>
            <w:tcBorders>
              <w:bottom w:val="single" w:color="auto" w:sz="4" w:space="0"/>
            </w:tcBorders>
            <w:vAlign w:val="center"/>
          </w:tcPr>
          <w:p w14:paraId="2F7860B3">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Borders>
              <w:bottom w:val="single" w:color="auto" w:sz="4" w:space="0"/>
            </w:tcBorders>
            <w:vAlign w:val="center"/>
          </w:tcPr>
          <w:p w14:paraId="04A5ABCB">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技术项 / 版本</w:t>
            </w:r>
          </w:p>
        </w:tc>
        <w:tc>
          <w:tcPr>
            <w:tcBorders>
              <w:bottom w:val="single" w:color="auto" w:sz="4" w:space="0"/>
            </w:tcBorders>
            <w:vAlign w:val="center"/>
          </w:tcPr>
          <w:p w14:paraId="134093C5">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在系统中的作用</w:t>
            </w:r>
          </w:p>
        </w:tc>
      </w:tr>
      <w:tr w14:paraId="47A4993B">
        <w:trPr>
          <w:jc w:val="center"/>
        </w:trPr>
        <w:tc>
          <w:tcPr>
            <w:tcBorders>
              <w:top w:val="single" w:color="auto" w:sz="4" w:space="0"/>
            </w:tcBorders>
            <w:vAlign w:val="center"/>
          </w:tcPr>
          <w:p w14:paraId="15E26E5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操作系统</w:t>
            </w:r>
          </w:p>
        </w:tc>
        <w:tc>
          <w:tcPr>
            <w:tcBorders>
              <w:top w:val="single" w:color="auto" w:sz="4" w:space="0"/>
            </w:tcBorders>
            <w:vAlign w:val="center"/>
          </w:tcPr>
          <w:p w14:paraId="4AA7C17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Windows 10 / Ubuntu 22.04 LTS</w:t>
            </w:r>
          </w:p>
        </w:tc>
        <w:tc>
          <w:tcPr>
            <w:tcBorders>
              <w:top w:val="single" w:color="auto" w:sz="4" w:space="0"/>
            </w:tcBorders>
            <w:vAlign w:val="center"/>
          </w:tcPr>
          <w:p w14:paraId="10A0793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开发与部署环境</w:t>
            </w:r>
          </w:p>
        </w:tc>
      </w:tr>
      <w:tr w14:paraId="46E6B663">
        <w:trPr>
          <w:jc w:val="center"/>
        </w:trPr>
        <w:tc>
          <w:tcPr>
            <w:vAlign w:val="center"/>
          </w:tcPr>
          <w:p w14:paraId="566A127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后端开发语言</w:t>
            </w:r>
          </w:p>
        </w:tc>
        <w:tc>
          <w:tcPr>
            <w:vAlign w:val="center"/>
          </w:tcPr>
          <w:p w14:paraId="4A4C92A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Java 17</w:t>
            </w:r>
          </w:p>
        </w:tc>
        <w:tc>
          <w:tcPr>
            <w:vAlign w:val="center"/>
          </w:tcPr>
          <w:p w14:paraId="771A8FA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后端业务服务开发平台</w:t>
            </w:r>
          </w:p>
        </w:tc>
      </w:tr>
      <w:tr w14:paraId="7B1462AC">
        <w:trPr>
          <w:jc w:val="center"/>
        </w:trPr>
        <w:tc>
          <w:tcPr>
            <w:vAlign w:val="center"/>
          </w:tcPr>
          <w:p w14:paraId="5DD62A9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前端运行环境</w:t>
            </w:r>
          </w:p>
        </w:tc>
        <w:tc>
          <w:tcPr>
            <w:vAlign w:val="center"/>
          </w:tcPr>
          <w:p w14:paraId="6A125C6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Node.js 18.20.6</w:t>
            </w:r>
          </w:p>
        </w:tc>
        <w:tc>
          <w:tcPr>
            <w:vAlign w:val="center"/>
          </w:tcPr>
          <w:p w14:paraId="0F0C0C4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前端构建与依赖运行环境</w:t>
            </w:r>
          </w:p>
        </w:tc>
      </w:tr>
      <w:tr w14:paraId="375A0535">
        <w:trPr>
          <w:jc w:val="center"/>
        </w:trPr>
        <w:tc>
          <w:tcPr>
            <w:vAlign w:val="center"/>
          </w:tcPr>
          <w:p w14:paraId="22CD4BC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后端框架</w:t>
            </w:r>
          </w:p>
        </w:tc>
        <w:tc>
          <w:tcPr>
            <w:vAlign w:val="center"/>
          </w:tcPr>
          <w:p w14:paraId="198664D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Spring Boot 2.5.15</w:t>
            </w:r>
          </w:p>
        </w:tc>
        <w:tc>
          <w:tcPr>
            <w:vAlign w:val="center"/>
          </w:tcPr>
          <w:p w14:paraId="3271D0E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提供应用启动、配置装配与接口服务能力</w:t>
            </w:r>
          </w:p>
        </w:tc>
      </w:tr>
      <w:tr w14:paraId="7B43CEDF">
        <w:trPr>
          <w:jc w:val="center"/>
        </w:trPr>
        <w:tc>
          <w:tcPr>
            <w:vAlign w:val="center"/>
          </w:tcPr>
          <w:p w14:paraId="47C426C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安全框架</w:t>
            </w:r>
          </w:p>
        </w:tc>
        <w:tc>
          <w:tcPr>
            <w:vAlign w:val="center"/>
          </w:tcPr>
          <w:p w14:paraId="084849A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Spring Security + JWT</w:t>
            </w:r>
          </w:p>
        </w:tc>
        <w:tc>
          <w:tcPr>
            <w:vAlign w:val="center"/>
          </w:tcPr>
          <w:p w14:paraId="0815F67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建立统一认证链路与权限校验机制</w:t>
            </w:r>
          </w:p>
        </w:tc>
      </w:tr>
      <w:tr w14:paraId="48CC8C49">
        <w:trPr>
          <w:jc w:val="center"/>
        </w:trPr>
        <w:tc>
          <w:tcPr>
            <w:vAlign w:val="center"/>
          </w:tcPr>
          <w:p w14:paraId="7888C11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持久层框架</w:t>
            </w:r>
          </w:p>
        </w:tc>
        <w:tc>
          <w:tcPr>
            <w:vAlign w:val="center"/>
          </w:tcPr>
          <w:p w14:paraId="738C1B6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MyBatis-Plus 3.5.3 / MyBatis</w:t>
            </w:r>
          </w:p>
        </w:tc>
        <w:tc>
          <w:tcPr>
            <w:vAlign w:val="center"/>
          </w:tcPr>
          <w:p w14:paraId="26EF9F7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负责实体持久化与复杂查询映射</w:t>
            </w:r>
          </w:p>
        </w:tc>
      </w:tr>
      <w:tr w14:paraId="72008584">
        <w:trPr>
          <w:jc w:val="center"/>
        </w:trPr>
        <w:tc>
          <w:tcPr>
            <w:vAlign w:val="center"/>
          </w:tcPr>
          <w:p w14:paraId="0592C07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数据库</w:t>
            </w:r>
          </w:p>
        </w:tc>
        <w:tc>
          <w:tcPr>
            <w:vAlign w:val="center"/>
          </w:tcPr>
          <w:p w14:paraId="52C7306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MySQL 8.0</w:t>
            </w:r>
          </w:p>
        </w:tc>
        <w:tc>
          <w:tcPr>
            <w:vAlign w:val="center"/>
          </w:tcPr>
          <w:p w14:paraId="44C7029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保存仓库、库存、订单与统计数据</w:t>
            </w:r>
          </w:p>
        </w:tc>
      </w:tr>
      <w:tr w14:paraId="031F1FB9">
        <w:trPr>
          <w:jc w:val="center"/>
        </w:trPr>
        <w:tc>
          <w:tcPr>
            <w:vAlign w:val="center"/>
          </w:tcPr>
          <w:p w14:paraId="2239D1A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数据库连接池</w:t>
            </w:r>
          </w:p>
        </w:tc>
        <w:tc>
          <w:tcPr>
            <w:vAlign w:val="center"/>
          </w:tcPr>
          <w:p w14:paraId="048D07E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Druid</w:t>
            </w:r>
          </w:p>
        </w:tc>
        <w:tc>
          <w:tcPr>
            <w:vAlign w:val="center"/>
          </w:tcPr>
          <w:p w14:paraId="7F1FFB8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负责连接复用、监控与慢SQL分析</w:t>
            </w:r>
          </w:p>
        </w:tc>
      </w:tr>
      <w:tr w14:paraId="6BC472B5">
        <w:trPr>
          <w:jc w:val="center"/>
        </w:trPr>
        <w:tc>
          <w:tcPr>
            <w:vAlign w:val="center"/>
          </w:tcPr>
          <w:p w14:paraId="6CE3A1D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缓存中间件</w:t>
            </w:r>
          </w:p>
        </w:tc>
        <w:tc>
          <w:tcPr>
            <w:vAlign w:val="center"/>
          </w:tcPr>
          <w:p w14:paraId="457DB9C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Redis</w:t>
            </w:r>
          </w:p>
        </w:tc>
        <w:tc>
          <w:tcPr>
            <w:vAlign w:val="center"/>
          </w:tcPr>
          <w:p w14:paraId="6126CFB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支撑登录态恢复、缓存失效与状态协同</w:t>
            </w:r>
          </w:p>
        </w:tc>
      </w:tr>
      <w:tr w14:paraId="04BD207B">
        <w:trPr>
          <w:jc w:val="center"/>
        </w:trPr>
        <w:tc>
          <w:tcPr>
            <w:vAlign w:val="center"/>
          </w:tcPr>
          <w:p w14:paraId="77576AD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消息中间件</w:t>
            </w:r>
          </w:p>
        </w:tc>
        <w:tc>
          <w:tcPr>
            <w:vAlign w:val="center"/>
          </w:tcPr>
          <w:p w14:paraId="1D732AC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RabbitMQ</w:t>
            </w:r>
          </w:p>
        </w:tc>
        <w:tc>
          <w:tcPr>
            <w:vAlign w:val="center"/>
          </w:tcPr>
          <w:p w14:paraId="284A53F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承担异步更新、广播和失败消息暂存</w:t>
            </w:r>
          </w:p>
        </w:tc>
      </w:tr>
      <w:tr w14:paraId="779FBA6A">
        <w:trPr>
          <w:jc w:val="center"/>
        </w:trPr>
        <w:tc>
          <w:tcPr>
            <w:vAlign w:val="center"/>
          </w:tcPr>
          <w:p w14:paraId="1A4AC6C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任务调度</w:t>
            </w:r>
          </w:p>
        </w:tc>
        <w:tc>
          <w:tcPr>
            <w:vAlign w:val="center"/>
          </w:tcPr>
          <w:p w14:paraId="4E00A4F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Quartz</w:t>
            </w:r>
          </w:p>
        </w:tc>
        <w:tc>
          <w:tcPr>
            <w:vAlign w:val="center"/>
          </w:tcPr>
          <w:p w14:paraId="64E174A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执行巡检、重试和恢复类后台任务</w:t>
            </w:r>
          </w:p>
        </w:tc>
      </w:tr>
      <w:tr w14:paraId="67665BF9">
        <w:trPr>
          <w:jc w:val="center"/>
        </w:trPr>
        <w:tc>
          <w:tcPr>
            <w:vAlign w:val="center"/>
          </w:tcPr>
          <w:p w14:paraId="48BEB50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前端框架</w:t>
            </w:r>
          </w:p>
        </w:tc>
        <w:tc>
          <w:tcPr>
            <w:vAlign w:val="center"/>
          </w:tcPr>
          <w:p w14:paraId="4418964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Vue 2.6.12 + Element UI 2.15.14</w:t>
            </w:r>
          </w:p>
        </w:tc>
        <w:tc>
          <w:tcPr>
            <w:vAlign w:val="center"/>
          </w:tcPr>
          <w:p w14:paraId="5AFBE40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实现仓储业务页面与交互组件</w:t>
            </w:r>
          </w:p>
        </w:tc>
      </w:tr>
      <w:tr w14:paraId="483CB896">
        <w:trPr>
          <w:jc w:val="center"/>
        </w:trPr>
        <w:tc>
          <w:tcPr>
            <w:vAlign w:val="center"/>
          </w:tcPr>
          <w:p w14:paraId="635D8A2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状态管理</w:t>
            </w:r>
          </w:p>
        </w:tc>
        <w:tc>
          <w:tcPr>
            <w:vAlign w:val="center"/>
          </w:tcPr>
          <w:p w14:paraId="6D083BE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Vuex 3.6.0</w:t>
            </w:r>
          </w:p>
        </w:tc>
        <w:tc>
          <w:tcPr>
            <w:vAlign w:val="center"/>
          </w:tcPr>
          <w:p w14:paraId="645FBD4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统一维护用户、路由和下载进度状态</w:t>
            </w:r>
          </w:p>
        </w:tc>
      </w:tr>
      <w:tr w14:paraId="5048ACE5">
        <w:trPr>
          <w:jc w:val="center"/>
        </w:trPr>
        <w:tc>
          <w:tcPr>
            <w:vAlign w:val="center"/>
          </w:tcPr>
          <w:p w14:paraId="23C27E1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路由管理</w:t>
            </w:r>
          </w:p>
        </w:tc>
        <w:tc>
          <w:tcPr>
            <w:vAlign w:val="center"/>
          </w:tcPr>
          <w:p w14:paraId="1AFF3C0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Vue Router 3.4.9</w:t>
            </w:r>
          </w:p>
        </w:tc>
        <w:tc>
          <w:tcPr>
            <w:vAlign w:val="center"/>
          </w:tcPr>
          <w:p w14:paraId="4072114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支撑动态菜单与页面跳转控制</w:t>
            </w:r>
          </w:p>
        </w:tc>
      </w:tr>
      <w:tr w14:paraId="7E766B20">
        <w:trPr>
          <w:jc w:val="center"/>
        </w:trPr>
        <w:tc>
          <w:tcPr>
            <w:vAlign w:val="center"/>
          </w:tcPr>
          <w:p w14:paraId="12791B7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构建工具</w:t>
            </w:r>
          </w:p>
        </w:tc>
        <w:tc>
          <w:tcPr>
            <w:vAlign w:val="center"/>
          </w:tcPr>
          <w:p w14:paraId="5A0B411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Vue CLI Service 4.4.6 + Webpack 5</w:t>
            </w:r>
          </w:p>
        </w:tc>
        <w:tc>
          <w:tcPr>
            <w:vAlign w:val="center"/>
          </w:tcPr>
          <w:p w14:paraId="5BD136E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完成前端工程构建、打包与发布</w:t>
            </w:r>
          </w:p>
        </w:tc>
      </w:tr>
      <w:tr w14:paraId="5CE7D8E5">
        <w:trPr>
          <w:jc w:val="center"/>
        </w:trPr>
        <w:tc>
          <w:tcPr>
            <w:vAlign w:val="center"/>
          </w:tcPr>
          <w:p w14:paraId="207E725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包管理方式</w:t>
            </w:r>
          </w:p>
        </w:tc>
        <w:tc>
          <w:tcPr>
            <w:vAlign w:val="center"/>
          </w:tcPr>
          <w:p w14:paraId="2E63914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Yarn Workspaces</w:t>
            </w:r>
          </w:p>
        </w:tc>
        <w:tc>
          <w:tcPr>
            <w:vAlign w:val="center"/>
          </w:tcPr>
          <w:p w14:paraId="3CA5021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组织多包协作的 Monorepo 工程</w:t>
            </w:r>
          </w:p>
        </w:tc>
      </w:tr>
      <w:tr w14:paraId="77A555B4">
        <w:trPr>
          <w:jc w:val="center"/>
        </w:trPr>
        <w:tc>
          <w:tcPr>
            <w:vAlign w:val="center"/>
          </w:tcPr>
          <w:p w14:paraId="0F464B3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测试工具</w:t>
            </w:r>
          </w:p>
        </w:tc>
        <w:tc>
          <w:tcPr>
            <w:vAlign w:val="center"/>
          </w:tcPr>
          <w:p w14:paraId="299FFC6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Jest 29</w:t>
            </w:r>
          </w:p>
        </w:tc>
        <w:tc>
          <w:tcPr>
            <w:vAlign w:val="center"/>
          </w:tcPr>
          <w:p w14:paraId="512B2F7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用于前端逻辑与工具函数测试</w:t>
            </w:r>
          </w:p>
        </w:tc>
      </w:tr>
      <w:tr w14:paraId="790E0D3B">
        <w:trPr>
          <w:jc w:val="center"/>
        </w:trPr>
        <w:tc>
          <w:tcPr>
            <w:vAlign w:val="center"/>
          </w:tcPr>
          <w:p w14:paraId="42B763D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Excel处理</w:t>
            </w:r>
          </w:p>
        </w:tc>
        <w:tc>
          <w:tcPr>
            <w:vAlign w:val="center"/>
          </w:tcPr>
          <w:p w14:paraId="35A098E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EasyExcel + Apache POI</w:t>
            </w:r>
          </w:p>
        </w:tc>
        <w:tc>
          <w:tcPr>
            <w:vAlign w:val="center"/>
          </w:tcPr>
          <w:p w14:paraId="035E8DB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支持模板化报表与大数据量导出</w:t>
            </w:r>
          </w:p>
        </w:tc>
      </w:tr>
      <w:tr w14:paraId="10EF91C4">
        <w:trPr>
          <w:jc w:val="center"/>
        </w:trPr>
        <w:tc>
          <w:tcPr>
            <w:vAlign w:val="center"/>
          </w:tcPr>
          <w:p w14:paraId="77C17FD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实时通信</w:t>
            </w:r>
          </w:p>
        </w:tc>
        <w:tc>
          <w:tcPr>
            <w:vAlign w:val="center"/>
          </w:tcPr>
          <w:p w14:paraId="33A716E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SockJS + STOMP / WebSocket</w:t>
            </w:r>
          </w:p>
        </w:tc>
        <w:tc>
          <w:tcPr>
            <w:vAlign w:val="center"/>
          </w:tcPr>
          <w:p w14:paraId="75C2C10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实现导出进度与状态消息推送</w:t>
            </w:r>
          </w:p>
        </w:tc>
      </w:tr>
      <w:tr w14:paraId="63B11F2F">
        <w:trPr>
          <w:jc w:val="center"/>
        </w:trPr>
        <w:tc>
          <w:tcPr>
            <w:vAlign w:val="center"/>
          </w:tcPr>
          <w:p w14:paraId="6E0BD5C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开发工具</w:t>
            </w:r>
          </w:p>
        </w:tc>
        <w:tc>
          <w:tcPr>
            <w:vAlign w:val="center"/>
          </w:tcPr>
          <w:p w14:paraId="4682B91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IntelliJ IDEA / VS Code</w:t>
            </w:r>
          </w:p>
        </w:tc>
        <w:tc>
          <w:tcPr>
            <w:vAlign w:val="center"/>
          </w:tcPr>
          <w:p w14:paraId="58FF8E4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支持前后端协同开发</w:t>
            </w:r>
          </w:p>
        </w:tc>
      </w:tr>
      <w:bookmarkEnd w:id="23"/>
    </w:tbl>
    <w:p w14:paraId="7956C02F">
      <w:pPr>
        <w:pStyle w:val="3"/>
      </w:pPr>
      <w:bookmarkStart w:id="24" w:name="_Toc1441736657"/>
      <w:bookmarkStart w:id="25" w:name="_Toc1569539501"/>
      <w:bookmarkStart w:id="26" w:name="_Toc010008"/>
      <w:bookmarkStart w:id="27" w:name="系统技术栈说明"/>
      <w:r>
        <w:t>2.2 系统技术栈说明</w:t>
      </w:r>
      <w:bookmarkEnd w:id="24"/>
      <w:bookmarkEnd w:id="25"/>
      <w:bookmarkEnd w:id="26"/>
    </w:p>
    <w:p w14:paraId="704189CD">
      <w:pPr>
        <w:spacing w:before="0" w:after="0" w:line="360" w:lineRule="auto"/>
        <w:ind w:firstLine="480"/>
        <w:jc w:val="both"/>
        <w:rPr>
          <w:rFonts w:hint="eastAsia" w:eastAsia="宋体"/>
          <w:lang w:eastAsia="zh-CN"/>
        </w:rPr>
      </w:pPr>
      <w:r>
        <w:t>本系统按照仓储业务的处理路径组织技术栈. 前端负责页面展示、查询条件、表格操作和导出</w:t>
      </w:r>
      <w:r>
        <w:rPr>
          <w:rFonts w:hint="eastAsia"/>
          <w:lang w:val="en-US" w:eastAsia="zh-CN"/>
        </w:rPr>
        <w:t>的</w:t>
      </w:r>
      <w:r>
        <w:t>反馈；安全过滤层处理登录</w:t>
      </w:r>
      <w:r>
        <w:rPr>
          <w:rFonts w:hint="eastAsia"/>
          <w:lang w:val="en-US" w:eastAsia="zh-CN"/>
        </w:rPr>
        <w:t>的</w:t>
      </w:r>
      <w:r>
        <w:t>校验和权限</w:t>
      </w:r>
      <w:r>
        <w:rPr>
          <w:rFonts w:hint="eastAsia"/>
          <w:lang w:val="en-US" w:eastAsia="zh-CN"/>
        </w:rPr>
        <w:t>的</w:t>
      </w:r>
      <w:r>
        <w:t xml:space="preserve">边界；业务层承载入库、出库、审核、统计等核心规则；数据访问层负责库存和订单等数据的持久化；Redis、RabbitMQ、Quartz等基础设施则配合完成缓存、异步处理和定时任务. 对应到实现上，表示层使用Vue.js、Element UI、Vuex和Axios，认证部分采用Spring Security与JWT，业务服务由Spring Boot承载，数据读写由MyBatis-Plus和MySQL完成. 技术栈分层结构如图1所示. </w:t>
      </w:r>
    </w:p>
    <w:p w14:paraId="1BFA86D8">
      <w:pPr>
        <w:spacing w:before="0" w:after="0" w:line="360" w:lineRule="auto"/>
        <w:ind w:firstLine="480"/>
        <w:jc w:val="both"/>
        <w:rPr>
          <w:rFonts w:hint="eastAsia" w:eastAsia="宋体"/>
          <w:lang w:eastAsia="zh-CN"/>
        </w:rPr>
      </w:pPr>
      <w:r>
        <w:t xml:space="preserve">图1所示的分层结构，本质上是为了把页面交互、身份认证、仓储规则、数据操作和中间件能力分开处理. 对于玻璃供应链WMS而言，仓库、库存、订单、审核和导出之间存在较多联动，如果所有逻辑集中在同一层，会增加后续维护难度. 分层后，各模块既可以通过明确接口协作，也能在功能扩展时减少对其他部分的影响. </w:t>
      </w:r>
    </w:p>
    <w:p w14:paraId="69805F09">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6120130" cy="5509260"/>
            <wp:effectExtent l="0" t="0" r="1270" b="2540"/>
            <wp:docPr id="54" name="Picture" descr="图1 系统技术栈分层概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图1 系统技术栈分层概览图"/>
                    <pic:cNvPicPr>
                      <a:picLocks noChangeAspect="1" noChangeArrowheads="1"/>
                    </pic:cNvPicPr>
                  </pic:nvPicPr>
                  <pic:blipFill>
                    <a:blip r:embed="rId6"/>
                    <a:srcRect b="10695"/>
                    <a:stretch>
                      <a:fillRect/>
                    </a:stretch>
                  </pic:blipFill>
                  <pic:spPr>
                    <a:xfrm>
                      <a:off x="0" y="0"/>
                      <a:ext cx="6120130" cy="5509260"/>
                    </a:xfrm>
                    <a:prstGeom prst="rect">
                      <a:avLst/>
                    </a:prstGeom>
                    <a:noFill/>
                    <a:ln w="9525">
                      <a:noFill/>
                    </a:ln>
                  </pic:spPr>
                </pic:pic>
              </a:graphicData>
            </a:graphic>
          </wp:inline>
        </w:drawing>
      </w:r>
    </w:p>
    <w:p w14:paraId="2DA43FE4">
      <w:pPr>
        <w:bidi w:val="0"/>
        <w:jc w:val="center"/>
        <w:rPr>
          <w:rFonts w:hint="eastAsia" w:ascii="宋体" w:hAnsi="宋体" w:eastAsia="宋体" w:cs="宋体"/>
          <w:color w:val="auto"/>
          <w:sz w:val="18"/>
        </w:rPr>
      </w:pPr>
      <w:r>
        <w:rPr>
          <w:rFonts w:ascii="宋体" w:hAnsi="宋体" w:eastAsia="宋体" w:cs="宋体"/>
          <w:color w:val="auto"/>
          <w:sz w:val="18"/>
        </w:rPr>
        <w:t>图1 系统技术栈分层概览图</w:t>
      </w:r>
    </w:p>
    <w:p w14:paraId="4A97942F">
      <w:pPr>
        <w:pStyle w:val="6"/>
      </w:pPr>
      <w:bookmarkStart w:id="28" w:name="spring-boot后端框架"/>
      <w:r>
        <w:t>2.2.1 Spring Boot后端框架</w:t>
      </w:r>
    </w:p>
    <w:p w14:paraId="49AA7E40">
      <w:pPr>
        <w:spacing w:before="0" w:after="0" w:line="360" w:lineRule="auto"/>
        <w:ind w:firstLine="480"/>
        <w:jc w:val="both"/>
      </w:pPr>
      <w:r>
        <w:t>系统后端以Spring Boot作为核心开发框架</w:t>
      </w:r>
      <w:r>
        <w:rPr>
          <w:vertAlign w:val="superscript"/>
        </w:rPr>
        <w:t>[</w:t>
      </w:r>
      <w:r>
        <w:fldChar w:fldCharType="begin"/>
      </w:r>
      <w:r>
        <w:instrText xml:space="preserve"> REF Ref_4 \r \h </w:instrText>
      </w:r>
      <w:r>
        <w:fldChar w:fldCharType="separate"/>
      </w:r>
      <w:r>
        <w:rPr>
          <w:vertAlign w:val="superscript"/>
        </w:rPr>
        <w:t>4</w:t>
      </w:r>
      <w:r>
        <w:rPr>
          <w:vertAlign w:val="superscript"/>
        </w:rPr>
        <w:fldChar w:fldCharType="end"/>
      </w:r>
      <w:r>
        <w:rPr>
          <w:vertAlign w:val="superscript"/>
        </w:rPr>
        <w:t>]</w:t>
      </w:r>
      <w:r>
        <w:t xml:space="preserve">. 在本课题中，选择Spring Boot主要基于两点考虑：一是它可以快速提供RESTful接口、配置装配和依赖管理能力，减少传统Java Web项目中重复的基础配置；二是它适合以模块化单体方式组织中小型业务系统，便于把入库、出库、审核、统计和导出等功能放在统一部署单元中管理. 对于需要保持库存主单、库存明细、出库记录和统计结果一致的仓储系统，这种部署方式更利于控制业务边界. </w:t>
      </w:r>
    </w:p>
    <w:p w14:paraId="0B121BDE">
      <w:pPr>
        <w:keepNext w:val="0"/>
        <w:keepLines w:val="0"/>
        <w:widowControl w:val="0"/>
        <w:suppressLineNumbers w:val="0"/>
        <w:snapToGrid/>
        <w:spacing w:before="0" w:beforeAutospacing="0" w:after="0" w:afterAutospacing="0" w:line="360" w:lineRule="auto"/>
        <w:ind w:left="0" w:right="0" w:firstLine="480" w:firstLineChars="200"/>
        <w:jc w:val="both"/>
        <w:textAlignment w:val="auto"/>
        <w:rPr>
          <w:rFonts w:hint="eastAsia" w:ascii="宋体" w:hAnsi="宋体" w:eastAsia="宋体" w:cs="宋体"/>
          <w:color w:val="auto"/>
          <w:sz w:val="24"/>
          <w:lang w:eastAsia="zh-CN"/>
        </w:rPr>
      </w:pPr>
      <w:r>
        <w:t xml:space="preserve">在具体实现中，后端代码按控制器、服务层、数据访问层和配置类组织. 接口映射、依赖注入、参数校验和异常处理通过注解完成；数据库、Redis和RabbitMQ等连接参数则通过Profile区分开发、测试和生产环境. 这样部署环境变化时，主要调整配置文件即可，业务代码本身不需要频繁改动. </w:t>
      </w:r>
    </w:p>
    <w:bookmarkEnd w:id="28"/>
    <w:p w14:paraId="4BBE3219">
      <w:pPr>
        <w:pStyle w:val="6"/>
      </w:pPr>
      <w:r>
        <w:t>2.2.2 基于Spring Security与JWT的认证机制</w:t>
      </w:r>
    </w:p>
    <w:p w14:paraId="63852651">
      <w:pPr>
        <w:spacing w:before="0" w:after="0" w:line="360" w:lineRule="auto"/>
        <w:ind w:firstLine="480"/>
        <w:jc w:val="both"/>
        <w:rPr>
          <w:rFonts w:hint="eastAsia" w:eastAsia="宋体"/>
          <w:lang w:eastAsia="zh-CN"/>
        </w:rPr>
      </w:pPr>
      <w:r>
        <w:t>系统的权限控制首先解决“谁在操作、能操作什么”的问题. 登录时，后端根据用户名和密码完成认证，认证通过后签发JWT；后续请求由前端在请求头中携带令牌，服务端过滤器解析令牌并恢复用户身份，再交给权限注解、菜单权限和按钮权限继续判断</w:t>
      </w:r>
      <w:r>
        <w:rPr>
          <w:vertAlign w:val="superscript"/>
        </w:rPr>
        <w:t>[</w:t>
      </w:r>
      <w:r>
        <w:fldChar w:fldCharType="begin"/>
      </w:r>
      <w:r>
        <w:instrText xml:space="preserve"> REF Ref_9 \r \h </w:instrText>
      </w:r>
      <w:r>
        <w:fldChar w:fldCharType="separate"/>
      </w:r>
      <w:r>
        <w:rPr>
          <w:vertAlign w:val="superscript"/>
        </w:rPr>
        <w:t>9</w:t>
      </w:r>
      <w:r>
        <w:rPr>
          <w:vertAlign w:val="superscript"/>
        </w:rPr>
        <w:fldChar w:fldCharType="end"/>
      </w:r>
      <w:r>
        <w:rPr>
          <w:vertAlign w:val="superscript"/>
        </w:rPr>
        <w:t>]</w:t>
      </w:r>
      <w:r>
        <w:t xml:space="preserve">. 这种处理方式使页面入口和接口访问保持同一套身份依据. </w:t>
      </w:r>
    </w:p>
    <w:p w14:paraId="513AE327">
      <w:pPr>
        <w:spacing w:before="0" w:after="0" w:line="360" w:lineRule="auto"/>
        <w:ind w:firstLine="480"/>
        <w:jc w:val="both"/>
        <w:rPr>
          <w:rFonts w:hint="eastAsia" w:eastAsia="宋体"/>
          <w:lang w:eastAsia="zh-CN"/>
        </w:rPr>
      </w:pPr>
      <w:r>
        <w:t xml:space="preserve">由于玻璃供应链WMS涉及管理员、财务、后勤和业务员等不同岗位，同一库存数据在不同角色下对应的操作范围并不相同. 例如，后勤人员侧重入库、出库和附件维护，财务人员更关注审核和金额核对，系统管理员则负责角色、菜单和运行配置. 因此，本系统把角色权限与动态路由结合起来，减少越权操作和误操作的可能. </w:t>
      </w:r>
    </w:p>
    <w:p w14:paraId="2A52545F">
      <w:pPr>
        <w:pStyle w:val="6"/>
      </w:pPr>
      <w:r>
        <w:t>2.2.3 MyBatis-Plus与MySQL数据持久化</w:t>
      </w:r>
    </w:p>
    <w:p w14:paraId="3919B7E3">
      <w:pPr>
        <w:spacing w:before="0" w:after="0" w:line="360" w:lineRule="auto"/>
        <w:ind w:firstLine="480"/>
        <w:jc w:val="both"/>
        <w:rPr>
          <w:rFonts w:hint="eastAsia" w:eastAsia="宋体"/>
          <w:lang w:eastAsia="zh-CN"/>
        </w:rPr>
      </w:pPr>
      <w:r>
        <w:t xml:space="preserve">仓储数据最终需要落到稳定的数据表中. 系统以MySQL 8.0作为核心数据库，使用InnoDB事务能力保存仓库、往来主体、产品级别、订单主单、订单明细、入库主单、库存明细和出库记录等数据. 这些数据既要支持日常录入，也要支撑库存余额、仓库变动明细和导出报表等查询. </w:t>
      </w:r>
    </w:p>
    <w:p w14:paraId="1D94246A">
      <w:pPr>
        <w:spacing w:before="0" w:after="0" w:line="360" w:lineRule="auto"/>
        <w:ind w:firstLine="480"/>
        <w:jc w:val="both"/>
        <w:rPr>
          <w:rFonts w:hint="eastAsia" w:eastAsia="宋体"/>
          <w:lang w:eastAsia="zh-CN"/>
        </w:rPr>
      </w:pPr>
      <w:r>
        <w:t xml:space="preserve">数据访问层没有完全依赖单一工具. 常规的新增、修改、删除、分页和条件查询由MyBatis-Plus承担，减少重复CRUD代码；涉及库存金额汇总、时间区间统计和多表关联的查询，则通过原生MyBatis映射SQL，便于明确控制查询字段、连接关系和排序逻辑. 这种分工更适合库存系统中“基础维护多、统计口径细”的特点. </w:t>
      </w:r>
    </w:p>
    <w:p w14:paraId="6182095E">
      <w:pPr>
        <w:pStyle w:val="6"/>
      </w:pPr>
      <w:r>
        <w:t>2.2.4 Redis缓存与运行时状态管理</w:t>
      </w:r>
    </w:p>
    <w:p w14:paraId="1C49DC59">
      <w:pPr>
        <w:spacing w:before="0" w:after="0" w:line="360" w:lineRule="auto"/>
        <w:ind w:firstLine="480"/>
        <w:jc w:val="both"/>
        <w:rPr>
          <w:rFonts w:hint="eastAsia" w:eastAsia="宋体"/>
          <w:lang w:eastAsia="zh-CN"/>
        </w:rPr>
      </w:pPr>
      <w:r>
        <w:t>Redis在本系统中主要用于保存运行过程中的临时状态. 登录后，用户身份、角色和权限信息可写入缓存，便于后续请求恢复认证上下文；仓库、产品级别、字典项以及部分高频查询结果也可以短期缓存，减少重复访问数据库. 对于导出任务和重复提交控制，Redis还可以记录必要的状态标记</w:t>
      </w:r>
      <w:r>
        <w:rPr>
          <w:rFonts w:hint="default"/>
          <w:vertAlign w:val="superscript"/>
          <w:lang w:val="en-US"/>
        </w:rPr>
        <w:fldChar w:fldCharType="begin"/>
      </w:r>
      <w:r>
        <w:instrText xml:space="preserve"> REF Ref_5 \n \h  \* MERGEFORMAT</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 xml:space="preserve">. </w:t>
      </w:r>
    </w:p>
    <w:p w14:paraId="13401103">
      <w:pPr>
        <w:spacing w:before="0" w:after="0" w:line="360" w:lineRule="auto"/>
        <w:ind w:firstLine="480"/>
        <w:jc w:val="both"/>
        <w:rPr>
          <w:rFonts w:hint="eastAsia" w:eastAsia="宋体"/>
          <w:lang w:eastAsia="zh-CN"/>
        </w:rPr>
      </w:pPr>
      <w:r>
        <w:t xml:space="preserve">库存类业务使用缓存时，不能只追求读取速度. 仓库余额和变动明细都依赖近期入库、出库和审核结果，如果缓存失效策略不清晰，页面展示就可能与数据库记录出现偏差. 因此，系统更强调主动失效和版本化刷新：当主数据或库存数据发生变化时，及时清理相关缓存，使缓存只承担辅助加速作用，不替代数据库中的最终结果. </w:t>
      </w:r>
    </w:p>
    <w:p w14:paraId="69BCA77D">
      <w:pPr>
        <w:pStyle w:val="6"/>
      </w:pPr>
      <w:r>
        <w:t>2.2.5 RabbitMQ消息队列与异步处理</w:t>
      </w:r>
    </w:p>
    <w:p w14:paraId="15AB139B">
      <w:pPr>
        <w:spacing w:before="0" w:after="0" w:line="360" w:lineRule="auto"/>
        <w:ind w:firstLine="480"/>
        <w:jc w:val="both"/>
        <w:rPr>
          <w:rFonts w:hint="eastAsia" w:eastAsia="宋体"/>
          <w:lang w:eastAsia="zh-CN"/>
        </w:rPr>
      </w:pPr>
      <w:r>
        <w:t>系统中存在一些不适合放在主事务中同步等待的工作，例如主数据变更后的冗余字段刷新、导出状态通知、部分统计结果更新和异常任务恢复. RabbitMQ用于承接这些可解耦处理</w:t>
      </w:r>
      <w:r>
        <w:rPr>
          <w:vertAlign w:val="superscript"/>
        </w:rPr>
        <w:t>[</w:t>
      </w:r>
      <w:r>
        <w:fldChar w:fldCharType="begin"/>
      </w:r>
      <w:r>
        <w:instrText xml:space="preserve"> REF Ref_6 \r \h </w:instrText>
      </w:r>
      <w:r>
        <w:fldChar w:fldCharType="separate"/>
      </w:r>
      <w:r>
        <w:rPr>
          <w:vertAlign w:val="superscript"/>
        </w:rPr>
        <w:t>6</w:t>
      </w:r>
      <w:r>
        <w:rPr>
          <w:vertAlign w:val="superscript"/>
        </w:rPr>
        <w:fldChar w:fldCharType="end"/>
      </w:r>
      <w:r>
        <w:rPr>
          <w:vertAlign w:val="superscript"/>
        </w:rPr>
        <w:t>]</w:t>
      </w:r>
      <w:r>
        <w:t xml:space="preserve">，使主业务保存完成后能够较快返回，后续动作再由消费者按队列处理. </w:t>
      </w:r>
    </w:p>
    <w:p w14:paraId="39834956">
      <w:pPr>
        <w:spacing w:before="0" w:after="0" w:line="360" w:lineRule="auto"/>
        <w:ind w:firstLine="0"/>
        <w:jc w:val="left"/>
      </w:pPr>
      <w:r>
        <w:t xml:space="preserve">结合本系统业务，更新队列主要处理仓库、客户、供应商、车辆、车队、银行卡、产品级别等名称或账户冗余信息的刷新；广播类消息用于向相关模块传递状态变化；死信队列则保存暂时无法消费的异常消息，后续再配合Quartz巡检和重试机制进行恢复. 这样处理后，系统在降低页面等待时间的同时，也为异常补偿留下了通道. </w:t>
      </w:r>
    </w:p>
    <w:p w14:paraId="62A33DAE">
      <w:pPr>
        <w:pStyle w:val="6"/>
      </w:pPr>
      <w:r>
        <w:t>2.2.6 事件驱动联动与一致性保障</w:t>
      </w:r>
    </w:p>
    <w:p w14:paraId="24A627F2">
      <w:pPr>
        <w:spacing w:before="0" w:after="0" w:line="360" w:lineRule="auto"/>
        <w:ind w:firstLine="480"/>
        <w:jc w:val="both"/>
        <w:rPr>
          <w:rFonts w:hint="eastAsia" w:eastAsia="宋体"/>
          <w:lang w:eastAsia="zh-CN"/>
        </w:rPr>
      </w:pPr>
      <w:r>
        <w:t xml:space="preserve">入库、出库和审核并不是简单的单表写入. 一次入库会影响库存明细和后续统计，一次出库会改变可用库存和业务流向，主数据变更还可能影响列表中的展示名称. 如果把这些后续动作全部写进同一个服务方法，代码会很快变得臃肿，也不利于排查问题. </w:t>
      </w:r>
    </w:p>
    <w:p w14:paraId="134544E7">
      <w:pPr>
        <w:spacing w:before="0" w:after="0" w:line="360" w:lineRule="auto"/>
        <w:ind w:firstLine="480"/>
        <w:jc w:val="both"/>
        <w:rPr>
          <w:rFonts w:hint="eastAsia" w:eastAsia="宋体"/>
          <w:lang w:eastAsia="zh-CN"/>
        </w:rPr>
      </w:pPr>
      <w:r>
        <w:t xml:space="preserve">为此，系统采用AOP和观察者模式组织联动逻辑. 主服务先完成核心数据库操作，切面在约定节点发布实体事件；监听器再根据事件类型处理编号生成、参数补齐、状态同步、库存数量与金额更新、冗余字段刷新等附加动作. 关键库存变动仍保留在同步链路内，非关键刷新则可以继续交给消息队列处理. 事件驱动工作原理如图3所示. </w:t>
      </w:r>
    </w:p>
    <w:p w14:paraId="0FFA53EF">
      <w:pPr>
        <w:spacing w:before="0" w:after="0" w:line="360" w:lineRule="auto"/>
        <w:ind w:firstLine="480"/>
        <w:jc w:val="both"/>
        <w:rPr>
          <w:rFonts w:hint="eastAsia" w:eastAsia="宋体"/>
          <w:lang w:eastAsia="zh-CN"/>
        </w:rPr>
      </w:pPr>
      <w:r>
        <w:t xml:space="preserve">事件机制还需要控制触发边界. 库存、订单和统计之间可能存在连续联动，如果缺少调用链记录，监听器容易重复执行甚至形成递归. 因此，系统在事件处理过程中记录调用深度，并在请求结束后释放上下文状态，以便在保持模块解耦的同时控制一致性风险. </w:t>
      </w:r>
    </w:p>
    <w:p w14:paraId="06D72DE3">
      <w:pPr>
        <w:pStyle w:val="6"/>
      </w:pPr>
      <w:r>
        <w:t>2.2.7 Vue.js前端实现框架</w:t>
      </w:r>
    </w:p>
    <w:p w14:paraId="4A0BB1D4">
      <w:pPr>
        <w:spacing w:before="0" w:after="0" w:line="360" w:lineRule="auto"/>
        <w:ind w:firstLine="480"/>
        <w:jc w:val="both"/>
        <w:rPr>
          <w:rFonts w:hint="eastAsia" w:eastAsia="宋体"/>
          <w:lang w:eastAsia="zh-CN"/>
        </w:rPr>
      </w:pPr>
      <w:r>
        <w:t>前端采用Vue 2.6.12和Element UI构建后台管理界面</w:t>
      </w:r>
      <w:r>
        <w:rPr>
          <w:vertAlign w:val="superscript"/>
        </w:rPr>
        <w:t>[</w:t>
      </w:r>
      <w:r>
        <w:fldChar w:fldCharType="begin"/>
      </w:r>
      <w:r>
        <w:instrText xml:space="preserve"> REF Ref_4 \r \h </w:instrText>
      </w:r>
      <w:r>
        <w:fldChar w:fldCharType="separate"/>
      </w:r>
      <w:r>
        <w:rPr>
          <w:vertAlign w:val="superscript"/>
        </w:rPr>
        <w:t>4</w:t>
      </w:r>
      <w:r>
        <w:rPr>
          <w:vertAlign w:val="superscript"/>
        </w:rPr>
        <w:fldChar w:fldCharType="end"/>
      </w:r>
      <w:r>
        <w:rPr>
          <w:vertAlign w:val="superscript"/>
        </w:rPr>
        <w:t>]</w:t>
      </w:r>
      <w:r>
        <w:t xml:space="preserve">. 仓储页面通常由查询条件、表格、弹窗表单、附件入口、导出按钮和详情区域组成，组件化实现能够把这些重复界面单元拆分出来复用. Vue Router根据权限数据生成可访问路由，Vuex集中保存用户信息、路由状态、临时业务数据和导出进度. </w:t>
      </w:r>
    </w:p>
    <w:p w14:paraId="232944B1">
      <w:pPr>
        <w:spacing w:before="0" w:after="0" w:line="360" w:lineRule="auto"/>
        <w:ind w:firstLine="480"/>
        <w:jc w:val="both"/>
        <w:rPr>
          <w:rFonts w:hint="eastAsia" w:eastAsia="宋体"/>
          <w:lang w:eastAsia="zh-CN"/>
        </w:rPr>
      </w:pPr>
      <w:r>
        <w:t xml:space="preserve">从源码组织看，前端以Monorepo方式管理多个包，其中order-system承载仓储主业务. 入口文件负责组件、插件、指令和工具方法的装配；路由守卫在跳转前检查token与角色；Axios模块统一处理请求头、重复提交、异常提示和文件下载. 这样，页面操作、接口请求和权限判断能够按同一套规则运行. </w:t>
      </w:r>
    </w:p>
    <w:p w14:paraId="0832B025">
      <w:pPr>
        <w:pStyle w:val="6"/>
      </w:pPr>
      <w:r>
        <w:t>2.2.8 Excel报表导出与WebSocket进度反馈</w:t>
      </w:r>
    </w:p>
    <w:p w14:paraId="27AB836C">
      <w:pPr>
        <w:spacing w:before="0" w:after="0" w:line="360" w:lineRule="auto"/>
        <w:ind w:firstLine="480"/>
        <w:jc w:val="both"/>
        <w:rPr>
          <w:rFonts w:hint="eastAsia" w:eastAsia="宋体"/>
          <w:lang w:eastAsia="zh-CN"/>
        </w:rPr>
      </w:pPr>
      <w:r>
        <w:t xml:space="preserve">报表导出是仓储系统的高频能力. 入库记录、出库记录、库存余额和仓库变动明细字段较多，按时间和仓库筛选后还可能形成较大数据量. 系统使用EasyExcel处理流式写入，Apache POI用于模板表头、样式和多工作表场景，二者配合后可以兼顾导出性能和报表格式要求. </w:t>
      </w:r>
    </w:p>
    <w:p w14:paraId="0C5281B7">
      <w:pPr>
        <w:spacing w:before="0" w:after="0" w:line="360" w:lineRule="auto"/>
        <w:ind w:firstLine="480"/>
        <w:jc w:val="both"/>
        <w:rPr>
          <w:rFonts w:hint="eastAsia" w:eastAsia="宋体"/>
          <w:lang w:eastAsia="zh-CN"/>
        </w:rPr>
      </w:pPr>
      <w:r>
        <w:t xml:space="preserve">导出交互分为普通下载和后台导出两种. 普通导出由Axios发起请求并以Blob方式保存文件；耗时较长的一键下载则建立SockJS与STOMP通道，服务端推送当前处理模块、进度百分比和异常提示，前端把状态写入Vuex并刷新进度条. 用户无需在页面上盲等，也能判断后台任务是否正常推进. </w:t>
      </w:r>
    </w:p>
    <w:p w14:paraId="3911D6FF">
      <w:pPr>
        <w:spacing w:before="0" w:after="0" w:line="360" w:lineRule="auto"/>
        <w:ind w:firstLine="480"/>
        <w:jc w:val="both"/>
        <w:rPr>
          <w:rFonts w:hint="eastAsia" w:eastAsia="宋体"/>
          <w:lang w:eastAsia="zh-CN"/>
        </w:rPr>
      </w:pPr>
      <w:r>
        <w:t xml:space="preserve">综上，本章技术选型围绕仓储业务链路展开：Spring Boot承载后端服务，Spring Security与JWT限定访问边界，MyBatis-Plus和MySQL组织数据，Redis、RabbitMQ和Quartz分别处理缓存、异步任务和巡检恢复，事件机制连接库存联动，Vue.js提供统一操作入口. </w:t>
      </w:r>
    </w:p>
    <w:bookmarkEnd w:id="19"/>
    <w:bookmarkEnd w:id="27"/>
    <w:p w14:paraId="02907054">
      <w:pPr>
        <w:pStyle w:val="2"/>
      </w:pPr>
      <w:bookmarkStart w:id="29" w:name="_Toc010009"/>
      <w:bookmarkStart w:id="30" w:name="_Toc1210005098"/>
      <w:bookmarkStart w:id="31" w:name="_Toc1708757206"/>
      <w:bookmarkStart w:id="32" w:name="系统分析"/>
      <w:r>
        <w:t>3 系统分析</w:t>
      </w:r>
      <w:bookmarkEnd w:id="29"/>
      <w:bookmarkEnd w:id="30"/>
      <w:bookmarkEnd w:id="31"/>
    </w:p>
    <w:p w14:paraId="2A756563">
      <w:pPr>
        <w:pStyle w:val="3"/>
      </w:pPr>
      <w:bookmarkStart w:id="33" w:name="_Toc010010"/>
      <w:bookmarkStart w:id="34" w:name="_Toc2033028643"/>
      <w:bookmarkStart w:id="35" w:name="_Toc783549911"/>
      <w:bookmarkStart w:id="36" w:name="系统可行性分析"/>
      <w:r>
        <w:t>3.1 系统可行性分析</w:t>
      </w:r>
      <w:bookmarkEnd w:id="33"/>
      <w:bookmarkEnd w:id="34"/>
      <w:bookmarkEnd w:id="35"/>
    </w:p>
    <w:p w14:paraId="1608299B">
      <w:pPr>
        <w:spacing w:before="0" w:after="0" w:line="360" w:lineRule="auto"/>
        <w:ind w:firstLine="480"/>
        <w:jc w:val="both"/>
        <w:rPr>
          <w:rFonts w:hint="eastAsia" w:eastAsia="宋体"/>
          <w:lang w:eastAsia="zh-CN"/>
        </w:rPr>
      </w:pPr>
      <w:r>
        <w:t xml:space="preserve">在进入系统设计之前，需要先判断该课题是否具备落地条件. 本文结合玻璃供应链WMS的业务范围、开发环境、部署目标以及企业实际使用情况，从技术、成本和使用三个角度分析系统建设的可行性. </w:t>
      </w:r>
    </w:p>
    <w:p w14:paraId="74D51079">
      <w:pPr>
        <w:pStyle w:val="6"/>
      </w:pPr>
      <w:bookmarkStart w:id="37" w:name="技术可行性"/>
      <w:r>
        <w:t>3.1.1 技术可行性</w:t>
      </w:r>
    </w:p>
    <w:p w14:paraId="0DE670D2">
      <w:pPr>
        <w:spacing w:before="0" w:after="0" w:line="360" w:lineRule="auto"/>
        <w:ind w:firstLine="480"/>
        <w:jc w:val="both"/>
        <w:rPr>
          <w:rFonts w:hint="eastAsia" w:eastAsia="宋体"/>
          <w:lang w:eastAsia="zh-CN"/>
        </w:rPr>
      </w:pPr>
      <w:r>
        <w:t>从技术条件看，本课题采用的Java Web与前后端分离方案具备落地基础. Spring Boot 2.5.15负责RESTful接口、依赖装配和环境配置；MyBatis-Plus处理常规数据维护，原生MyBatis用于库存统计和多表查询；MySQL 8.0的InnoDB引擎承担库存数量、金额、审核状态和附件关联等关键数据的事务保存</w:t>
      </w:r>
      <w:r>
        <w:rPr>
          <w:vertAlign w:val="superscript"/>
        </w:rPr>
        <w:t>[</w:t>
      </w:r>
      <w:r>
        <w:fldChar w:fldCharType="begin"/>
      </w:r>
      <w:r>
        <w:instrText xml:space="preserve"> REF Ref_8 \r \h </w:instrText>
      </w:r>
      <w:r>
        <w:fldChar w:fldCharType="separate"/>
      </w:r>
      <w:r>
        <w:rPr>
          <w:vertAlign w:val="superscript"/>
        </w:rPr>
        <w:t>8</w:t>
      </w:r>
      <w:r>
        <w:rPr>
          <w:vertAlign w:val="superscript"/>
        </w:rPr>
        <w:fldChar w:fldCharType="end"/>
      </w:r>
      <w:r>
        <w:rPr>
          <w:vertAlign w:val="superscript"/>
        </w:rPr>
        <w:t>]</w:t>
      </w:r>
      <w:r>
        <w:t xml:space="preserve">；登录认证和接口隔离由Spring Security与JWT完成. </w:t>
      </w:r>
    </w:p>
    <w:p w14:paraId="27656AE5">
      <w:pPr>
        <w:spacing w:before="0" w:after="0" w:line="360" w:lineRule="auto"/>
        <w:ind w:firstLine="480"/>
        <w:jc w:val="both"/>
        <w:rPr>
          <w:rFonts w:hint="eastAsia" w:eastAsia="宋体"/>
          <w:lang w:eastAsia="zh-CN"/>
        </w:rPr>
      </w:pPr>
      <w:r>
        <w:t>辅助技术方面，Redis用于登录态恢复、缓存加速和版本化失效，RabbitMQ用于冗余字段同步、导出反馈和异步解耦，Quartz用于巡检、恢复和定时任务处理</w:t>
      </w:r>
      <w:r>
        <w:rPr>
          <w:vertAlign w:val="superscript"/>
        </w:rPr>
        <w:t>[</w:t>
      </w:r>
      <w:r>
        <w:fldChar w:fldCharType="begin"/>
      </w:r>
      <w:r>
        <w:instrText xml:space="preserve"> REF Ref_6 \r \h </w:instrText>
      </w:r>
      <w:r>
        <w:fldChar w:fldCharType="separate"/>
      </w:r>
      <w:r>
        <w:rPr>
          <w:vertAlign w:val="superscript"/>
        </w:rPr>
        <w:t>6</w:t>
      </w:r>
      <w:r>
        <w:rPr>
          <w:vertAlign w:val="superscript"/>
        </w:rPr>
        <w:fldChar w:fldCharType="end"/>
      </w:r>
      <w:r>
        <w:rPr>
          <w:vertAlign w:val="superscript"/>
        </w:rPr>
        <w:t>][</w:t>
      </w:r>
      <w:r>
        <w:fldChar w:fldCharType="begin"/>
      </w:r>
      <w:r>
        <w:instrText xml:space="preserve"> REF Ref_2 \r \h </w:instrText>
      </w:r>
      <w:r>
        <w:fldChar w:fldCharType="separate"/>
      </w:r>
      <w:r>
        <w:rPr>
          <w:vertAlign w:val="superscript"/>
        </w:rPr>
        <w:t>2</w:t>
      </w:r>
      <w:r>
        <w:rPr>
          <w:vertAlign w:val="superscript"/>
        </w:rPr>
        <w:fldChar w:fldCharType="end"/>
      </w:r>
      <w:r>
        <w:rPr>
          <w:vertAlign w:val="superscript"/>
        </w:rPr>
        <w:t>]</w:t>
      </w:r>
      <w:r>
        <w:t xml:space="preserve">. 前端使用Vue 2与Element UI实现后台管理页面，能够覆盖仓库、库存、订单、统计和导出等交互需求. 结合企业当前已经使用的仓库管理、库存入库、出库记录、库存余额表和仓库变动明细功能，可以判断该技术路线能够支撑本系统的实际运行. </w:t>
      </w:r>
    </w:p>
    <w:bookmarkEnd w:id="37"/>
    <w:p w14:paraId="5C33F0BA">
      <w:pPr>
        <w:pStyle w:val="6"/>
      </w:pPr>
      <w:bookmarkStart w:id="38" w:name="经济可行性"/>
      <w:r>
        <w:t>3.1.2 经济可行性</w:t>
      </w:r>
    </w:p>
    <w:p w14:paraId="5D9DEC09">
      <w:pPr>
        <w:spacing w:before="0" w:after="0" w:line="360" w:lineRule="auto"/>
        <w:ind w:firstLine="480"/>
        <w:jc w:val="both"/>
        <w:rPr>
          <w:rFonts w:hint="eastAsia" w:eastAsia="宋体"/>
          <w:lang w:eastAsia="zh-CN"/>
        </w:rPr>
      </w:pPr>
      <w:r>
        <w:t xml:space="preserve">从经济条件看，系统使用的Spring Boot、Vue.js、MySQL、Redis、RabbitMQ和Quartz等组件均属于开源技术，不需要额外采购商业授权. 开发工具可使用IntelliJ IDEA社区版、VS Code、Node.js和Yarn完成编码、构建与调试. 系统架构选择模块化单体，而不是服务注册、配置中心、网关集群等复杂微服务方案，也减少了部署和运维投入. </w:t>
      </w:r>
    </w:p>
    <w:p w14:paraId="4F24C5AC">
      <w:pPr>
        <w:spacing w:before="0" w:after="0" w:line="360" w:lineRule="auto"/>
        <w:ind w:firstLine="480"/>
        <w:jc w:val="both"/>
        <w:rPr>
          <w:rFonts w:hint="eastAsia" w:eastAsia="宋体"/>
          <w:lang w:eastAsia="zh-CN"/>
        </w:rPr>
      </w:pPr>
      <w:r>
        <w:t xml:space="preserve">从硬件和运维条件看，本系统面向企业内部仓储录入、查询、审核和报表导出，访问规模相对可控. 企业实际使用中，主要操作集中在日常订单查询、入库登记、出库登记、库存审核和统计导出，一台普通业务服务器即可承载应用服务和中间件连接，数据库也不需要一开始就拆成复杂集群. 该方案能满足日常使用，同时避免过高的初始建设和维护成本. </w:t>
      </w:r>
    </w:p>
    <w:bookmarkEnd w:id="38"/>
    <w:p w14:paraId="7099C096">
      <w:pPr>
        <w:pStyle w:val="6"/>
      </w:pPr>
      <w:bookmarkStart w:id="39" w:name="操作可行性"/>
      <w:r>
        <w:t>3.1.3 操作可行性</w:t>
      </w:r>
    </w:p>
    <w:p w14:paraId="503BF1D4">
      <w:pPr>
        <w:spacing w:before="0" w:after="0" w:line="360" w:lineRule="auto"/>
        <w:ind w:firstLine="480"/>
        <w:jc w:val="both"/>
        <w:rPr>
          <w:rFonts w:hint="eastAsia" w:eastAsia="宋体"/>
          <w:lang w:eastAsia="zh-CN"/>
        </w:rPr>
      </w:pPr>
      <w:r>
        <w:t>超级管理员承担系统治理职责，主要维护用户、角色、菜单、系统参数、日志、缓存、定时任务和导出任务状态. 系统投入企业使用后，该角色的重点不是参与具体入库或出库，而是保证系统配置、权限边界和运行状态可控</w:t>
      </w:r>
      <w:r>
        <w:rPr>
          <w:vertAlign w:val="superscript"/>
        </w:rPr>
        <w:t>[</w:t>
      </w:r>
      <w:r>
        <w:fldChar w:fldCharType="begin"/>
      </w:r>
      <w:r>
        <w:instrText xml:space="preserve"> REF Ref_9 \r \h </w:instrText>
      </w:r>
      <w:r>
        <w:fldChar w:fldCharType="separate"/>
      </w:r>
      <w:r>
        <w:rPr>
          <w:vertAlign w:val="superscript"/>
        </w:rPr>
        <w:t>9</w:t>
      </w:r>
      <w:r>
        <w:rPr>
          <w:vertAlign w:val="superscript"/>
        </w:rPr>
        <w:fldChar w:fldCharType="end"/>
      </w:r>
      <w:r>
        <w:rPr>
          <w:vertAlign w:val="superscript"/>
        </w:rPr>
        <w:t>]</w:t>
      </w:r>
      <w:r>
        <w:t xml:space="preserve">. </w:t>
      </w:r>
    </w:p>
    <w:p w14:paraId="28A11DAD">
      <w:pPr>
        <w:spacing w:before="0" w:after="0" w:line="360" w:lineRule="auto"/>
        <w:ind w:firstLine="480"/>
        <w:jc w:val="both"/>
        <w:rPr>
          <w:rFonts w:hint="eastAsia" w:eastAsia="宋体"/>
          <w:lang w:eastAsia="zh-CN"/>
        </w:rPr>
      </w:pPr>
      <w:r>
        <w:t xml:space="preserve">在岗位边界上，系统管理员负责用户、角色、菜单和运行维护，仓储业务人员负责订单查询、入库录入、出库处理、库存统计和数据导出. 企业实际使用表明，角色权限控制可以让不同岗位只看到职责范围内的功能入口和操作按钮，降低越权使用和误操作风险. 再结合审核状态、附件追溯和统计导出等功能，系统在实际使用层面具备落地条件. </w:t>
      </w:r>
    </w:p>
    <w:bookmarkEnd w:id="36"/>
    <w:bookmarkEnd w:id="39"/>
    <w:p w14:paraId="1F5BE993">
      <w:pPr>
        <w:spacing w:before="0" w:after="0" w:line="360" w:lineRule="auto"/>
        <w:ind w:firstLine="0"/>
        <w:rPr>
          <w:rFonts w:hint="eastAsia"/>
          <w:lang w:eastAsia="zh-CN"/>
        </w:rPr>
      </w:pPr>
      <w:r>
        <w:t xml:space="preserve">财务人员关注库存数量和金额口径是否一致，主要使用库存审核、仓库资金变动明细、库存余额统计、入出库统计和报表导出等功能. 在企业日常操作中，该角色通常不维护主数据，而是对仓储结果进行核对. </w:t>
      </w:r>
    </w:p>
    <w:p w14:paraId="66043EB2">
      <w:pPr>
        <w:pStyle w:val="3"/>
      </w:pPr>
      <w:bookmarkStart w:id="40" w:name="_Toc500095484"/>
      <w:bookmarkStart w:id="41" w:name="_Toc753630773"/>
      <w:r>
        <w:t>3.2 系统用户及需求分析</w:t>
      </w:r>
      <w:bookmarkEnd w:id="40"/>
      <w:bookmarkEnd w:id="41"/>
    </w:p>
    <w:p w14:paraId="7F9165D0">
      <w:pPr>
        <w:pStyle w:val="6"/>
      </w:pPr>
      <w:bookmarkStart w:id="42" w:name="系统用户角色分析"/>
      <w:r>
        <w:t>3.2.1 系统用户角色分析</w:t>
      </w:r>
    </w:p>
    <w:p w14:paraId="1E42B9C4">
      <w:pPr>
        <w:spacing w:before="0" w:after="0" w:line="360" w:lineRule="auto"/>
        <w:ind w:firstLine="480"/>
        <w:jc w:val="left"/>
        <w:rPr>
          <w:rFonts w:hint="eastAsia" w:eastAsia="宋体"/>
          <w:lang w:eastAsia="zh-CN"/>
        </w:rPr>
      </w:pPr>
      <w:r>
        <w:t xml:space="preserve">后勤人员直接参与仓储作业，负责仓库信息、产品级别、入库登记、库存明细、出库登记和附件维护等工作. 系统在企业使用过程中，该角色使用频率最高，主要关注记录是否完整、规格是否准确、过程资料能否追溯. </w:t>
      </w:r>
    </w:p>
    <w:p w14:paraId="52F26279">
      <w:pPr>
        <w:spacing w:before="0" w:after="0" w:line="360" w:lineRule="auto"/>
        <w:ind w:firstLine="480"/>
        <w:jc w:val="left"/>
        <w:rPr>
          <w:rFonts w:hint="eastAsia" w:eastAsia="宋体"/>
          <w:lang w:eastAsia="zh-CN"/>
        </w:rPr>
      </w:pPr>
      <w:r>
        <w:t xml:space="preserve">四类角色分别对应不同的业务关注点：超级管理员关注权限和运行维护，财务人员关注库存结果与金额口径，后勤人员关注仓储作业和主数据维护，业务员关注订单协同和履约跟踪. 相关用例如图4-1至图4-4所示. </w:t>
      </w:r>
    </w:p>
    <w:p w14:paraId="28EA16B9">
      <w:pPr>
        <w:spacing w:before="0" w:after="0" w:line="360" w:lineRule="auto"/>
        <w:ind w:firstLine="480"/>
        <w:jc w:val="left"/>
        <w:rPr>
          <w:rFonts w:hint="eastAsia" w:ascii="Times New Roman" w:hAnsi="Times New Roman"/>
          <w:lang w:eastAsia="zh-CN"/>
        </w:rPr>
      </w:pPr>
      <w:r>
        <w:rPr>
          <w:rFonts w:ascii="Times New Roman" w:hAnsi="Times New Roman"/>
        </w:rPr>
        <w:t xml:space="preserve">业务员负责订单协同和履约跟踪，使用客户与供应商资料、车辆与车队资料、订单录入、订单查询、库存状态查看、出库结果查看、运费信息查看和导出等功能. 该角色关注订单来源、承运信息和执行进度，一般不参与权限治理和库存审核. </w:t>
      </w:r>
    </w:p>
    <w:p w14:paraId="58ECFFD1">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3994150" cy="2746375"/>
            <wp:effectExtent l="0" t="0" r="19050" b="2222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7"/>
                    <a:stretch>
                      <a:fillRect/>
                    </a:stretch>
                  </pic:blipFill>
                  <pic:spPr>
                    <a:xfrm>
                      <a:off x="0" y="0"/>
                      <a:ext cx="3994150" cy="2746375"/>
                    </a:xfrm>
                    <a:prstGeom prst="rect">
                      <a:avLst/>
                    </a:prstGeom>
                  </pic:spPr>
                </pic:pic>
              </a:graphicData>
            </a:graphic>
          </wp:inline>
        </w:drawing>
      </w:r>
    </w:p>
    <w:p w14:paraId="4F669EA2">
      <w:pPr>
        <w:bidi w:val="0"/>
        <w:jc w:val="center"/>
        <w:rPr>
          <w:rFonts w:ascii="宋体" w:hAnsi="宋体" w:eastAsia="宋体" w:cs="宋体"/>
          <w:color w:val="auto"/>
          <w:sz w:val="18"/>
        </w:rPr>
      </w:pPr>
      <w:r>
        <w:rPr>
          <w:rFonts w:ascii="宋体" w:hAnsi="宋体" w:eastAsia="宋体" w:cs="宋体"/>
          <w:color w:val="auto"/>
          <w:sz w:val="18"/>
        </w:rPr>
        <w:t>图4-1 超级管理员用例图</w:t>
      </w:r>
    </w:p>
    <w:p w14:paraId="1E4A170E">
      <w:pPr>
        <w:spacing w:before="0" w:after="0" w:line="360" w:lineRule="auto"/>
        <w:ind w:firstLine="480"/>
        <w:jc w:val="both"/>
        <w:rPr>
          <w:rFonts w:hint="eastAsia" w:eastAsia="宋体"/>
          <w:lang w:eastAsia="zh-CN"/>
        </w:rPr>
      </w:pPr>
      <w:r>
        <w:t xml:space="preserve">超级管理员主要承担系统治理工作，包括用户、角色、菜单、系统参数、日志、缓存状态、定时任务和导出任务恢复等内容. 该角色不直接参与具体入库或出库操作，而是从全局角度维护系统配置、权限边界和运行状态，并在异常发生时提供排查入口. </w:t>
      </w:r>
    </w:p>
    <w:p w14:paraId="5CE24F7B">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3841750" cy="2641600"/>
            <wp:effectExtent l="0" t="0" r="1905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8"/>
                    <a:stretch>
                      <a:fillRect/>
                    </a:stretch>
                  </pic:blipFill>
                  <pic:spPr>
                    <a:xfrm>
                      <a:off x="0" y="0"/>
                      <a:ext cx="3841750" cy="2641600"/>
                    </a:xfrm>
                    <a:prstGeom prst="rect">
                      <a:avLst/>
                    </a:prstGeom>
                  </pic:spPr>
                </pic:pic>
              </a:graphicData>
            </a:graphic>
          </wp:inline>
        </w:drawing>
      </w:r>
    </w:p>
    <w:p w14:paraId="5FF8459B">
      <w:pPr>
        <w:bidi w:val="0"/>
        <w:jc w:val="center"/>
        <w:rPr>
          <w:rFonts w:ascii="宋体" w:hAnsi="宋体" w:eastAsia="宋体" w:cs="宋体"/>
          <w:color w:val="auto"/>
          <w:sz w:val="18"/>
        </w:rPr>
      </w:pPr>
      <w:r>
        <w:rPr>
          <w:rFonts w:ascii="宋体" w:hAnsi="宋体" w:eastAsia="宋体" w:cs="宋体"/>
          <w:color w:val="auto"/>
          <w:sz w:val="18"/>
        </w:rPr>
        <w:t>图4-2 财务人员用例图</w:t>
      </w:r>
    </w:p>
    <w:p w14:paraId="6E464736">
      <w:pPr>
        <w:spacing w:before="0" w:after="0" w:line="360" w:lineRule="auto"/>
        <w:ind w:firstLine="480"/>
        <w:jc w:val="both"/>
        <w:rPr>
          <w:rFonts w:hint="eastAsia" w:eastAsia="宋体"/>
          <w:lang w:eastAsia="zh-CN"/>
        </w:rPr>
      </w:pPr>
      <w:r>
        <w:t xml:space="preserve">财务人员主要围绕库存结果与金额口径开展审核和核对工作，其核心职责包括库存审核、仓库资金变动明细查询、库存余额统计、入出库统计查看以及统计报表导出. 该角色不直接维护仓储主数据，而是重点保证库存数量、库存金额和订单执行结果之间的统计口径一致. </w:t>
      </w:r>
    </w:p>
    <w:p w14:paraId="52FDD623">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3771265" cy="2592705"/>
            <wp:effectExtent l="0" t="0" r="13335" b="2349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9"/>
                    <a:stretch>
                      <a:fillRect/>
                    </a:stretch>
                  </pic:blipFill>
                  <pic:spPr>
                    <a:xfrm>
                      <a:off x="0" y="0"/>
                      <a:ext cx="3771265" cy="2592705"/>
                    </a:xfrm>
                    <a:prstGeom prst="rect">
                      <a:avLst/>
                    </a:prstGeom>
                  </pic:spPr>
                </pic:pic>
              </a:graphicData>
            </a:graphic>
          </wp:inline>
        </w:drawing>
      </w:r>
    </w:p>
    <w:p w14:paraId="11454006">
      <w:pPr>
        <w:bidi w:val="0"/>
        <w:jc w:val="center"/>
        <w:rPr>
          <w:rFonts w:ascii="宋体" w:hAnsi="宋体" w:eastAsia="宋体" w:cs="宋体"/>
          <w:color w:val="auto"/>
          <w:sz w:val="18"/>
        </w:rPr>
      </w:pPr>
      <w:r>
        <w:rPr>
          <w:rFonts w:ascii="宋体" w:hAnsi="宋体" w:eastAsia="宋体" w:cs="宋体"/>
          <w:color w:val="auto"/>
          <w:sz w:val="18"/>
        </w:rPr>
        <w:t>图4-3 后勤人员用例图</w:t>
      </w:r>
    </w:p>
    <w:p w14:paraId="43271F70">
      <w:pPr>
        <w:spacing w:before="0" w:after="0" w:line="360" w:lineRule="auto"/>
        <w:ind w:firstLine="480"/>
        <w:jc w:val="both"/>
        <w:rPr>
          <w:rFonts w:hint="eastAsia" w:eastAsia="宋体"/>
          <w:lang w:eastAsia="zh-CN"/>
        </w:rPr>
      </w:pPr>
      <w:r>
        <w:t xml:space="preserve">后勤人员是仓储作业链路中的直接执行者，负责仓库信息维护、产品级别维护、入库登记、库存明细维护、出库登记以及附件维护等工作，并通过库存明细查询持续跟踪仓储过程. 该角色的主要目标是保证主数据完整、作业录入规范以及库存过程资料可追溯. </w:t>
      </w:r>
    </w:p>
    <w:p w14:paraId="4720962D">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3787775" cy="2604135"/>
            <wp:effectExtent l="0" t="0" r="22225" b="1206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0"/>
                    <a:stretch>
                      <a:fillRect/>
                    </a:stretch>
                  </pic:blipFill>
                  <pic:spPr>
                    <a:xfrm>
                      <a:off x="0" y="0"/>
                      <a:ext cx="3787775" cy="2604135"/>
                    </a:xfrm>
                    <a:prstGeom prst="rect">
                      <a:avLst/>
                    </a:prstGeom>
                  </pic:spPr>
                </pic:pic>
              </a:graphicData>
            </a:graphic>
          </wp:inline>
        </w:drawing>
      </w:r>
    </w:p>
    <w:p w14:paraId="5A700092">
      <w:pPr>
        <w:bidi w:val="0"/>
        <w:jc w:val="center"/>
        <w:rPr>
          <w:rFonts w:ascii="宋体" w:hAnsi="宋体" w:eastAsia="宋体" w:cs="宋体"/>
          <w:color w:val="auto"/>
          <w:sz w:val="18"/>
        </w:rPr>
      </w:pPr>
      <w:r>
        <w:rPr>
          <w:rFonts w:ascii="宋体" w:hAnsi="宋体" w:eastAsia="宋体" w:cs="宋体"/>
          <w:color w:val="auto"/>
          <w:sz w:val="18"/>
        </w:rPr>
        <w:t>图4-4 业务员用例图</w:t>
      </w:r>
    </w:p>
    <w:p w14:paraId="22E43C57">
      <w:pPr>
        <w:spacing w:before="0" w:after="0" w:line="360" w:lineRule="auto"/>
        <w:ind w:firstLine="480"/>
        <w:jc w:val="both"/>
        <w:rPr>
          <w:rFonts w:hint="eastAsia" w:eastAsia="宋体"/>
          <w:lang w:eastAsia="zh-CN"/>
        </w:rPr>
      </w:pPr>
      <w:r>
        <w:t xml:space="preserve">业务员主要负责订单协同与业务跟踪相关工作，包括客户与供应商资料维护、车辆与车队信息选择、订单录入、订单查询、订单执行跟踪、库存状态查看、出库结果查看、运费信息查看以及业务查询结果导出等. 在企业实际使用中，该角色更关注业务来源和履约进度，不承担系统权限治理和库存审核等后台控制职责. </w:t>
      </w:r>
    </w:p>
    <w:bookmarkEnd w:id="42"/>
    <w:p w14:paraId="0BC64B7D">
      <w:pPr>
        <w:pStyle w:val="6"/>
      </w:pPr>
      <w:bookmarkStart w:id="43" w:name="系统总体功能模块"/>
      <w:r>
        <w:t>3.2.2 系统总体功能模块</w:t>
      </w:r>
    </w:p>
    <w:p w14:paraId="2E167B9E">
      <w:pPr>
        <w:spacing w:before="0" w:after="0" w:line="360" w:lineRule="auto"/>
        <w:ind w:firstLine="480"/>
        <w:jc w:val="both"/>
      </w:pPr>
      <w:r>
        <w:t xml:space="preserve">根据源码模块分布、业务职责和企业实际使用入口，玻璃供应链系统可以归纳为系统管理、基础数据、订单协同、仓储作业、资金结算、运输管理和统计报表七个模块层次，其总体结构如图5所示. </w:t>
      </w:r>
    </w:p>
    <w:p w14:paraId="064D5BE8">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6204585" cy="3239135"/>
            <wp:effectExtent l="0" t="0" r="18415" b="1206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pic:cNvPicPr>
                      <a:picLocks noChangeAspect="1"/>
                    </pic:cNvPicPr>
                  </pic:nvPicPr>
                  <pic:blipFill>
                    <a:blip r:embed="rId11"/>
                    <a:stretch>
                      <a:fillRect/>
                    </a:stretch>
                  </pic:blipFill>
                  <pic:spPr>
                    <a:xfrm>
                      <a:off x="0" y="0"/>
                      <a:ext cx="6204585" cy="3239699"/>
                    </a:xfrm>
                    <a:prstGeom prst="rect">
                      <a:avLst/>
                    </a:prstGeom>
                  </pic:spPr>
                </pic:pic>
              </a:graphicData>
            </a:graphic>
          </wp:inline>
        </w:drawing>
      </w:r>
    </w:p>
    <w:p w14:paraId="6F20743E">
      <w:pPr>
        <w:bidi w:val="0"/>
        <w:jc w:val="center"/>
        <w:rPr>
          <w:rFonts w:hint="eastAsia"/>
          <w:lang w:eastAsia="zh-CN"/>
        </w:rPr>
      </w:pPr>
      <w:r>
        <w:rPr>
          <w:rFonts w:ascii="宋体" w:hAnsi="宋体" w:eastAsia="宋体" w:cs="宋体"/>
          <w:color w:val="auto"/>
          <w:sz w:val="18"/>
        </w:rPr>
        <w:t>图5 系统功能模块结构图</w:t>
      </w:r>
    </w:p>
    <w:p w14:paraId="624F836F">
      <w:pPr>
        <w:spacing w:before="0" w:after="0" w:line="360" w:lineRule="auto"/>
        <w:jc w:val="both"/>
        <w:rPr>
          <w:rFonts w:hint="eastAsia" w:eastAsia="宋体"/>
          <w:lang w:eastAsia="zh-CN"/>
        </w:rPr>
      </w:pPr>
      <w:r>
        <w:t xml:space="preserve">这些模块对应企业日常操作的不同阶段：系统管理提供账号、权限和运行维护基础；基础数据维护仓库、客户、供应商、银行卡、科目和产品级别等公共信息；运输管理维护车辆、车队、公司车辆和订单运费；订单协同连接业务接单与仓储执行；仓储作业处理入库、出库、库存明细和审核；资金结算记录付款、收款、银行账户变动和票据等业务；统计报表负责入出库结果、主体余额、运费汇总、银行流水和导出反馈. 企业使用时，相关操作基本沿着“主数据支撑业务、订单驱动仓储、运输关联履约、资金沉淀账目、统计支撑管理”的链路展开. </w:t>
      </w:r>
    </w:p>
    <w:bookmarkEnd w:id="43"/>
    <w:p w14:paraId="0671573B">
      <w:pPr>
        <w:pStyle w:val="6"/>
      </w:pPr>
      <w:r>
        <w:t>3.2.3 用户与权限管理模块需求</w:t>
      </w:r>
    </w:p>
    <w:p w14:paraId="250E9B55">
      <w:pPr>
        <w:spacing w:before="0" w:after="0" w:line="360" w:lineRule="auto"/>
        <w:ind w:firstLine="480"/>
        <w:jc w:val="both"/>
        <w:rPr>
          <w:rFonts w:hint="eastAsia" w:eastAsia="宋体"/>
          <w:lang w:eastAsia="zh-CN"/>
        </w:rPr>
      </w:pPr>
      <w:r>
        <w:t xml:space="preserve">用户与权限模块需要覆盖账号生命周期、角色分工和接口保护三个方面. 仓储系统中的不同岗位关注点差异较大，若只设置登录入口而不限制菜单、按钮和接口，仍然可能出现越权审核、误导出或错误维护主数据等问题. </w:t>
      </w:r>
    </w:p>
    <w:p w14:paraId="342FEEDE">
      <w:pPr>
        <w:spacing w:before="0" w:after="0" w:line="360" w:lineRule="auto"/>
        <w:ind w:firstLine="480"/>
        <w:jc w:val="both"/>
        <w:rPr>
          <w:rFonts w:hint="eastAsia" w:eastAsia="宋体"/>
          <w:lang w:eastAsia="zh-CN"/>
        </w:rPr>
      </w:pPr>
      <w:r>
        <w:t xml:space="preserve">（1）用户管理. 系统需要维护用户新增、修改、停用和删除流程，并保存用户名、姓名、联系方式、岗位和部门等基础资料；密码应以安全方式存储，避免账户信息泄露后被直接还原. </w:t>
      </w:r>
    </w:p>
    <w:p w14:paraId="1BC32BEC">
      <w:pPr>
        <w:spacing w:before="0" w:after="0" w:line="360" w:lineRule="auto"/>
        <w:ind w:firstLine="480"/>
        <w:jc w:val="both"/>
        <w:rPr>
          <w:rFonts w:hint="eastAsia" w:eastAsia="宋体"/>
          <w:lang w:eastAsia="zh-CN"/>
        </w:rPr>
      </w:pPr>
      <w:r>
        <w:t xml:space="preserve">（2）角色授权. 系统应支持角色定义、菜单授权和按钮授权，不同角色登录后只能看到职责范围内的页面和操作. 例如，管理员维护用户和菜单配置，仓库业务员主要处理订单、入库、出库和库存统计. </w:t>
      </w:r>
    </w:p>
    <w:p w14:paraId="3C19758C">
      <w:pPr>
        <w:spacing w:before="0" w:after="0" w:line="360" w:lineRule="auto"/>
        <w:ind w:firstLine="480"/>
        <w:jc w:val="both"/>
        <w:rPr>
          <w:rFonts w:hint="eastAsia" w:eastAsia="宋体"/>
          <w:lang w:eastAsia="zh-CN"/>
        </w:rPr>
      </w:pPr>
      <w:r>
        <w:t xml:space="preserve">（3）访问控制. 库存审核、数据导出和系统管理属于敏感操作，除页面按钮控制外，后端接口也需要进行鉴权校验，防止用户绕过前端直接调用接口. </w:t>
      </w:r>
    </w:p>
    <w:p w14:paraId="2A13379A">
      <w:pPr>
        <w:pStyle w:val="6"/>
      </w:pPr>
      <w:r>
        <w:t>3.2.4 基础数据管理模块需求</w:t>
      </w:r>
    </w:p>
    <w:p w14:paraId="65C08B39">
      <w:pPr>
        <w:spacing w:before="0" w:after="0" w:line="360" w:lineRule="auto"/>
        <w:ind w:firstLine="480"/>
        <w:jc w:val="both"/>
        <w:rPr>
          <w:rFonts w:hint="eastAsia" w:eastAsia="宋体"/>
          <w:lang w:eastAsia="zh-CN"/>
        </w:rPr>
      </w:pPr>
      <w:r>
        <w:t xml:space="preserve">基础数据管理为订单、入库、出库、运输、资金和统计提供统一引用对象. 仓库、客户、供应商、银行卡、车辆、车队、科目和产品规格如果维护不规范，后续库存即使能够录入，也会在订单关联、运费登记、账户选择、查询汇总和导出时出现口径不一致. </w:t>
      </w:r>
    </w:p>
    <w:p w14:paraId="045F9A2F">
      <w:pPr>
        <w:spacing w:before="0" w:after="0" w:line="360" w:lineRule="auto"/>
        <w:ind w:firstLine="480"/>
        <w:jc w:val="both"/>
        <w:rPr>
          <w:rFonts w:hint="eastAsia" w:eastAsia="宋体"/>
          <w:lang w:eastAsia="zh-CN"/>
        </w:rPr>
      </w:pPr>
      <w:r>
        <w:t xml:space="preserve">（1）仓库管理. 系统需要维护仓库名称、地址和启停状态，使入库主单、出库记录和库存余额都能归属到明确库房. </w:t>
      </w:r>
    </w:p>
    <w:p w14:paraId="7EDF7629">
      <w:pPr>
        <w:spacing w:before="0" w:after="0" w:line="360" w:lineRule="auto"/>
        <w:ind w:firstLine="480"/>
        <w:jc w:val="both"/>
        <w:rPr>
          <w:rFonts w:hint="eastAsia" w:eastAsia="宋体"/>
          <w:lang w:val="en-US" w:eastAsia="zh-CN"/>
        </w:rPr>
      </w:pPr>
      <w:r>
        <w:t>（2）往来主体管理. 客户和供应商应统一建档，并通过主体类型区分业务身份，避免同一企业在订单、入库来源和统计查询中出现多个名称.</w:t>
      </w:r>
      <w:r>
        <w:rPr>
          <w:rFonts w:hint="eastAsia"/>
          <w:lang w:val="en-US" w:eastAsia="zh-CN"/>
        </w:rPr>
        <w:t xml:space="preserve"> </w:t>
      </w:r>
    </w:p>
    <w:p w14:paraId="6333A5B6">
      <w:pPr>
        <w:spacing w:before="0" w:after="0" w:line="360" w:lineRule="auto"/>
        <w:ind w:firstLine="480"/>
        <w:jc w:val="both"/>
        <w:rPr>
          <w:rFonts w:hint="eastAsia" w:eastAsia="宋体"/>
          <w:lang w:eastAsia="zh-CN"/>
        </w:rPr>
      </w:pPr>
      <w:r>
        <w:t xml:space="preserve">（3）产品级别管理. 玻璃产品受厚度、长度、宽度、单位、片数和包数等参数影响，系统需要用产品级别或规格信息进行标准化描述，减少人工录入造成的规格差异. </w:t>
      </w:r>
    </w:p>
    <w:p w14:paraId="08A02FCE">
      <w:pPr>
        <w:spacing w:before="0" w:after="0" w:line="360" w:lineRule="auto"/>
        <w:ind w:firstLine="480"/>
        <w:jc w:val="both"/>
        <w:rPr>
          <w:rFonts w:hint="eastAsia" w:eastAsia="宋体"/>
          <w:lang w:eastAsia="zh-CN"/>
        </w:rPr>
      </w:pPr>
      <w:r>
        <w:t xml:space="preserve">（4）主数据联动. 仓库、主体和产品级别一旦被订单或库存记录引用，后续变更就应同步考虑历史展示和统计口径，必要时通过冗余字段刷新保持列表显示一致. </w:t>
      </w:r>
    </w:p>
    <w:p w14:paraId="27E2B3DA">
      <w:pPr>
        <w:pStyle w:val="6"/>
      </w:pPr>
      <w:bookmarkStart w:id="44" w:name="订单协同模块需求"/>
      <w:r>
        <w:t>3.2.5 订单协同模块需求</w:t>
      </w:r>
    </w:p>
    <w:p w14:paraId="2031AB77">
      <w:pPr>
        <w:spacing w:before="0" w:after="0" w:line="360" w:lineRule="auto"/>
        <w:ind w:firstLine="480"/>
        <w:jc w:val="both"/>
        <w:rPr>
          <w:rFonts w:hint="eastAsia" w:eastAsia="宋体"/>
          <w:lang w:eastAsia="zh-CN"/>
        </w:rPr>
      </w:pPr>
      <w:r>
        <w:t xml:space="preserve">订单协同模块用于连接业务接单和仓储执行，是本系统区别于单纯库存台账的重要部分. 通过订单信息，仓储人员可以把库存流转与客户、供应商、产品规格和执行状态关联起来. </w:t>
      </w:r>
      <w:r>
        <w:rPr>
          <w:vertAlign w:val="superscript"/>
        </w:rPr>
        <w:t>[</w:t>
      </w:r>
      <w:r>
        <w:fldChar w:fldCharType="begin"/>
      </w:r>
      <w:r>
        <w:instrText xml:space="preserve"> REF Ref_5 \r \h </w:instrText>
      </w:r>
      <w:r>
        <w:fldChar w:fldCharType="separate"/>
      </w:r>
      <w:r>
        <w:rPr>
          <w:vertAlign w:val="superscript"/>
        </w:rPr>
        <w:t>5</w:t>
      </w:r>
      <w:r>
        <w:rPr>
          <w:vertAlign w:val="superscript"/>
        </w:rPr>
        <w:fldChar w:fldCharType="end"/>
      </w:r>
      <w:r>
        <w:rPr>
          <w:vertAlign w:val="superscript"/>
        </w:rPr>
        <w:t>]</w:t>
      </w:r>
    </w:p>
    <w:p w14:paraId="0A273224">
      <w:pPr>
        <w:spacing w:before="0" w:after="0" w:line="360" w:lineRule="auto"/>
        <w:ind w:firstLine="480"/>
        <w:jc w:val="both"/>
        <w:rPr>
          <w:rFonts w:hint="eastAsia" w:eastAsia="宋体"/>
          <w:lang w:eastAsia="zh-CN"/>
        </w:rPr>
      </w:pPr>
      <w:r>
        <w:t>（1）订单录入与查询. 系统应支持订单信息的录入、查询和详情查看，使仓库业务员能够明确每一批货物对应的客户、供应商、产品规格、陆运车辆、海运柜号、司机联系方式、银行账户和执行状态</w:t>
      </w:r>
      <w:r>
        <w:rPr>
          <w:vertAlign w:val="superscript"/>
        </w:rPr>
        <w:t>[</w:t>
      </w:r>
      <w:r>
        <w:fldChar w:fldCharType="begin"/>
      </w:r>
      <w:r>
        <w:instrText xml:space="preserve"> REF Ref_7 \r \h </w:instrText>
      </w:r>
      <w:r>
        <w:fldChar w:fldCharType="separate"/>
      </w:r>
      <w:r>
        <w:rPr>
          <w:vertAlign w:val="superscript"/>
        </w:rPr>
        <w:t>7</w:t>
      </w:r>
      <w:r>
        <w:rPr>
          <w:vertAlign w:val="superscript"/>
        </w:rPr>
        <w:fldChar w:fldCharType="end"/>
      </w:r>
      <w:r>
        <w:rPr>
          <w:vertAlign w:val="superscript"/>
        </w:rPr>
        <w:t>]</w:t>
      </w:r>
      <w:r>
        <w:t xml:space="preserve">. </w:t>
      </w:r>
    </w:p>
    <w:p w14:paraId="252BD9BE">
      <w:pPr>
        <w:spacing w:before="0" w:after="0" w:line="360" w:lineRule="auto"/>
        <w:ind w:firstLine="480"/>
        <w:jc w:val="both"/>
        <w:rPr>
          <w:rFonts w:hint="eastAsia" w:eastAsia="宋体"/>
          <w:lang w:eastAsia="zh-CN"/>
        </w:rPr>
      </w:pPr>
      <w:r>
        <w:t xml:space="preserve">（2）订单与仓储关联. 系统需要把订单编号与入库、出库记录建立关联关系，从而实现“按订单追踪库存流转”的业务能力，便于后续查询某笔订单对应的库存形成与发货执行情况. </w:t>
      </w:r>
    </w:p>
    <w:p w14:paraId="105206F9">
      <w:pPr>
        <w:spacing w:before="0" w:after="0" w:line="360" w:lineRule="auto"/>
        <w:ind w:firstLine="480"/>
        <w:jc w:val="both"/>
        <w:rPr>
          <w:rFonts w:hint="eastAsia" w:eastAsia="宋体"/>
          <w:lang w:eastAsia="zh-CN"/>
        </w:rPr>
      </w:pPr>
      <w:r>
        <w:t xml:space="preserve">（3）历史追溯. 订单发生修改、补充附件或执行状态变化时，系统应保留必要的历史信息和追溯入口，便于对仓储执行过程进行复核. </w:t>
      </w:r>
    </w:p>
    <w:bookmarkEnd w:id="44"/>
    <w:p w14:paraId="58997959">
      <w:pPr>
        <w:pStyle w:val="6"/>
      </w:pPr>
      <w:bookmarkStart w:id="45" w:name="入库管理模块需求"/>
      <w:r>
        <w:t>3.2.6 入库管理模块需求</w:t>
      </w:r>
    </w:p>
    <w:p w14:paraId="743DD4FB">
      <w:pPr>
        <w:spacing w:before="0" w:after="0" w:line="360" w:lineRule="auto"/>
        <w:ind w:firstLine="480"/>
        <w:jc w:val="both"/>
        <w:rPr>
          <w:rFonts w:hint="eastAsia" w:eastAsia="宋体"/>
          <w:lang w:eastAsia="zh-CN"/>
        </w:rPr>
      </w:pPr>
      <w:r>
        <w:t xml:space="preserve">入库管理是库存形成的起点，需求重点集中在主单信息完整、规格明细准确和后续查询可追溯三个方面. </w:t>
      </w:r>
    </w:p>
    <w:p w14:paraId="23B088EA">
      <w:pPr>
        <w:spacing w:before="0" w:after="0" w:line="360" w:lineRule="auto"/>
        <w:ind w:firstLine="480"/>
        <w:jc w:val="both"/>
        <w:rPr>
          <w:rFonts w:hint="eastAsia" w:eastAsia="宋体"/>
          <w:lang w:eastAsia="zh-CN"/>
        </w:rPr>
      </w:pPr>
      <w:r>
        <w:t>（1）入库主单管理. 系统应支持录入入库日期、仓库、陆运车辆、海运柜号、司机信息、银行卡号、供应商或库房来源、产品级别等主信息，用于描述一次完整入库作业</w:t>
      </w:r>
      <w:r>
        <w:rPr>
          <w:vertAlign w:val="superscript"/>
        </w:rPr>
        <w:t>[</w:t>
      </w:r>
      <w:r>
        <w:fldChar w:fldCharType="begin"/>
      </w:r>
      <w:r>
        <w:instrText xml:space="preserve"> REF Ref_8 \r \h </w:instrText>
      </w:r>
      <w:r>
        <w:fldChar w:fldCharType="separate"/>
      </w:r>
      <w:r>
        <w:rPr>
          <w:vertAlign w:val="superscript"/>
        </w:rPr>
        <w:t>8</w:t>
      </w:r>
      <w:r>
        <w:rPr>
          <w:vertAlign w:val="superscript"/>
        </w:rPr>
        <w:fldChar w:fldCharType="end"/>
      </w:r>
      <w:r>
        <w:rPr>
          <w:vertAlign w:val="superscript"/>
        </w:rPr>
        <w:t>]</w:t>
      </w:r>
      <w:r>
        <w:t xml:space="preserve">. </w:t>
      </w:r>
    </w:p>
    <w:p w14:paraId="76AC75D1">
      <w:pPr>
        <w:spacing w:before="0" w:after="0" w:line="360" w:lineRule="auto"/>
        <w:ind w:firstLine="480"/>
        <w:jc w:val="both"/>
        <w:rPr>
          <w:rFonts w:hint="eastAsia" w:eastAsia="宋体"/>
          <w:lang w:eastAsia="zh-CN"/>
        </w:rPr>
      </w:pPr>
      <w:r>
        <w:t xml:space="preserve">（2）库存明细形成. 除主单外，系统还应记录厚度、长度、宽度、总片数、包数、入库金额等明细字段，使库存数据既能反映数量状态，也能反映金额状态. </w:t>
      </w:r>
    </w:p>
    <w:p w14:paraId="59412609">
      <w:pPr>
        <w:spacing w:before="0" w:after="0" w:line="360" w:lineRule="auto"/>
        <w:ind w:firstLine="480"/>
        <w:jc w:val="both"/>
        <w:rPr>
          <w:rFonts w:hint="eastAsia" w:eastAsia="宋体"/>
          <w:lang w:eastAsia="zh-CN"/>
        </w:rPr>
      </w:pPr>
      <w:r>
        <w:t xml:space="preserve">（3）查询与导出. 入库记录应支持按日期、仓库、产品级别、供应商、车辆或柜号等条件筛选，并能够导出结构化表格文件，满足日常核对和统计需求. </w:t>
      </w:r>
    </w:p>
    <w:bookmarkEnd w:id="45"/>
    <w:p w14:paraId="0A31B9EE">
      <w:pPr>
        <w:pStyle w:val="6"/>
      </w:pPr>
      <w:bookmarkStart w:id="46" w:name="出库管理模块需求"/>
      <w:r>
        <w:t>3.2.7 出库管理模块需求</w:t>
      </w:r>
    </w:p>
    <w:p w14:paraId="67D38FE6">
      <w:pPr>
        <w:spacing w:before="0" w:after="0" w:line="360" w:lineRule="auto"/>
        <w:ind w:firstLine="480"/>
        <w:jc w:val="both"/>
        <w:rPr>
          <w:rFonts w:hint="eastAsia" w:eastAsia="宋体"/>
          <w:lang w:eastAsia="zh-CN"/>
        </w:rPr>
      </w:pPr>
      <w:r>
        <w:t xml:space="preserve">出库管理承担库存扣减和流向登记职责. 由于玻璃货物可能存在正常发货、加工后流转和破损损耗等情况，出库功能需要区分不同业务类型，而不能只记录一个通用扣减结果. </w:t>
      </w:r>
    </w:p>
    <w:p w14:paraId="722745FA">
      <w:pPr>
        <w:spacing w:before="0" w:after="0" w:line="360" w:lineRule="auto"/>
        <w:ind w:firstLine="480"/>
        <w:jc w:val="both"/>
        <w:rPr>
          <w:rFonts w:hint="eastAsia" w:eastAsia="宋体"/>
          <w:lang w:eastAsia="zh-CN"/>
        </w:rPr>
      </w:pPr>
      <w:r>
        <w:t xml:space="preserve">（1）正常发货出库. 系统应支持根据订单或业务需求完成正常发货出库，记录仓库、出库日期、出库量和关联订单编号等信息. </w:t>
      </w:r>
    </w:p>
    <w:p w14:paraId="514A92A1">
      <w:pPr>
        <w:spacing w:before="0" w:after="0" w:line="360" w:lineRule="auto"/>
        <w:ind w:firstLine="480"/>
        <w:jc w:val="both"/>
        <w:rPr>
          <w:rFonts w:hint="eastAsia" w:eastAsia="宋体"/>
          <w:lang w:eastAsia="zh-CN"/>
        </w:rPr>
      </w:pPr>
      <w:r>
        <w:t xml:space="preserve">（2）加工后出库. 对于需要经过二次加工后再流转的货物，系统应支持加工后出库记录，以便区分普通发货与加工类库存流动. </w:t>
      </w:r>
    </w:p>
    <w:p w14:paraId="52BD7646">
      <w:pPr>
        <w:spacing w:before="0" w:after="0" w:line="360" w:lineRule="auto"/>
        <w:ind w:firstLine="480"/>
        <w:jc w:val="both"/>
        <w:rPr>
          <w:rFonts w:hint="eastAsia" w:eastAsia="宋体"/>
          <w:lang w:eastAsia="zh-CN"/>
        </w:rPr>
      </w:pPr>
      <w:r>
        <w:t xml:space="preserve">（3）破损出库. 考虑到玻璃货物易损，系统需要支持破损出库登记，使非正常损耗能够在库存层面被准确体现，避免账实不符. </w:t>
      </w:r>
    </w:p>
    <w:p w14:paraId="7A83F8A0">
      <w:pPr>
        <w:spacing w:before="0" w:after="0" w:line="360" w:lineRule="auto"/>
        <w:ind w:firstLine="480"/>
        <w:jc w:val="both"/>
        <w:rPr>
          <w:rFonts w:hint="eastAsia" w:eastAsia="宋体"/>
          <w:lang w:eastAsia="zh-CN"/>
        </w:rPr>
      </w:pPr>
      <w:r>
        <w:t xml:space="preserve">（4）出库查询与导出. 系统应支持按仓库、日期和出库方向等条件查询出库记录，并能够导出结果，满足业务追踪和管理分析需求. </w:t>
      </w:r>
    </w:p>
    <w:bookmarkEnd w:id="46"/>
    <w:p w14:paraId="2DD1114E">
      <w:pPr>
        <w:pStyle w:val="6"/>
      </w:pPr>
      <w:bookmarkStart w:id="47" w:name="库存审核与附件管理模块需求"/>
      <w:r>
        <w:t>3.2.8 库存审核与附件管理模块需求</w:t>
      </w:r>
    </w:p>
    <w:p w14:paraId="1E7BC61D">
      <w:pPr>
        <w:spacing w:before="0" w:after="0" w:line="360" w:lineRule="auto"/>
        <w:ind w:firstLine="480"/>
        <w:jc w:val="both"/>
        <w:rPr>
          <w:rFonts w:hint="eastAsia" w:eastAsia="宋体"/>
          <w:lang w:eastAsia="zh-CN"/>
        </w:rPr>
      </w:pPr>
      <w:r>
        <w:t xml:space="preserve">库存审核与附件管理用于提高关键仓储记录的受控程度. 对于已经影响库存余额或金额结果的业务数据，系统需要通过审核、状态回写和资料留存减少随意修改带来的风险. </w:t>
      </w:r>
    </w:p>
    <w:p w14:paraId="47580CBF">
      <w:pPr>
        <w:spacing w:before="0" w:after="0" w:line="360" w:lineRule="auto"/>
        <w:ind w:firstLine="480"/>
        <w:jc w:val="both"/>
        <w:rPr>
          <w:rFonts w:hint="eastAsia" w:eastAsia="宋体"/>
          <w:lang w:eastAsia="zh-CN"/>
        </w:rPr>
      </w:pPr>
      <w:r>
        <w:t xml:space="preserve">（1）库存审核. 系统应支持对入库主单或相关库存记录进行审核控制，审核通过后的关键数据应进入受限变更状态，以防止随意修改导致库存结果失真. </w:t>
      </w:r>
    </w:p>
    <w:p w14:paraId="47DF93CE">
      <w:pPr>
        <w:spacing w:before="0" w:after="0" w:line="360" w:lineRule="auto"/>
        <w:ind w:firstLine="480"/>
        <w:jc w:val="both"/>
        <w:rPr>
          <w:rFonts w:hint="eastAsia" w:eastAsia="宋体"/>
          <w:lang w:eastAsia="zh-CN"/>
        </w:rPr>
      </w:pPr>
      <w:r>
        <w:t xml:space="preserve">（2）审核状态回写. 系统在审核、取消审核或状态变化时，需要同步更新相关页面展示状态，并保证列表查询、详情查看和统计结果口径一致. </w:t>
      </w:r>
    </w:p>
    <w:p w14:paraId="46FB27AD">
      <w:pPr>
        <w:spacing w:before="0" w:after="0" w:line="360" w:lineRule="auto"/>
        <w:ind w:firstLine="480"/>
        <w:jc w:val="both"/>
        <w:rPr>
          <w:rFonts w:hint="eastAsia" w:eastAsia="宋体"/>
          <w:lang w:eastAsia="zh-CN"/>
        </w:rPr>
      </w:pPr>
      <w:r>
        <w:t xml:space="preserve">（3）附件维护. 系统应支持为订单和库存记录上传、补充和维护附件资料，例如业务单据、图片或证明材料，并在必要时支持审核后补传，以提升业务资料完整性. </w:t>
      </w:r>
    </w:p>
    <w:bookmarkEnd w:id="47"/>
    <w:p w14:paraId="56A17200">
      <w:pPr>
        <w:pStyle w:val="6"/>
      </w:pPr>
      <w:bookmarkStart w:id="48" w:name="库存明细与变动追踪需求"/>
      <w:r>
        <w:t>3.2.9 库存明细与变动追踪需求</w:t>
      </w:r>
    </w:p>
    <w:p w14:paraId="42544347">
      <w:pPr>
        <w:spacing w:before="0" w:after="0" w:line="360" w:lineRule="auto"/>
        <w:ind w:firstLine="480"/>
        <w:jc w:val="both"/>
        <w:rPr>
          <w:rFonts w:hint="eastAsia" w:eastAsia="宋体"/>
          <w:lang w:eastAsia="zh-CN"/>
        </w:rPr>
      </w:pPr>
      <w:r>
        <w:t xml:space="preserve">库存管理不能只看最终余额，还需要能够回到形成过程. 库存明细与变动追踪模块的作用，是帮助用户从汇总结果继续追溯到具体入库、出库或库存调整记录. </w:t>
      </w:r>
    </w:p>
    <w:p w14:paraId="7BA9167D">
      <w:pPr>
        <w:spacing w:before="0" w:after="0" w:line="360" w:lineRule="auto"/>
        <w:ind w:firstLine="480"/>
        <w:jc w:val="both"/>
        <w:rPr>
          <w:rFonts w:hint="eastAsia" w:eastAsia="宋体"/>
          <w:lang w:eastAsia="zh-CN"/>
        </w:rPr>
      </w:pPr>
      <w:r>
        <w:t xml:space="preserve">（1）库存明细查询. 系统应能够查看库存主单和库存明细之间的关联信息，帮助用户从仓库维度、规格维度或单据维度理解库存形成过程. </w:t>
      </w:r>
    </w:p>
    <w:p w14:paraId="1C24C40E">
      <w:pPr>
        <w:spacing w:before="0" w:after="0" w:line="360" w:lineRule="auto"/>
        <w:ind w:firstLine="480"/>
        <w:jc w:val="both"/>
        <w:rPr>
          <w:rFonts w:hint="eastAsia" w:eastAsia="宋体"/>
          <w:lang w:eastAsia="zh-CN"/>
        </w:rPr>
      </w:pPr>
      <w:r>
        <w:t xml:space="preserve">（2）仓库变动明细. 系统应支持从时间维度查看某一仓库在指定区间内的入库金额、出库金额和库房存货金额变化情况，以便分析库存变化趋势. </w:t>
      </w:r>
    </w:p>
    <w:p w14:paraId="57814367">
      <w:pPr>
        <w:spacing w:before="0" w:after="0" w:line="360" w:lineRule="auto"/>
        <w:ind w:firstLine="480"/>
        <w:jc w:val="both"/>
        <w:rPr>
          <w:rFonts w:hint="eastAsia" w:eastAsia="宋体"/>
          <w:lang w:eastAsia="zh-CN"/>
        </w:rPr>
      </w:pPr>
      <w:r>
        <w:t xml:space="preserve">（3）明细跳转与追溯. 用户查看仓库变动明细时，需要能够继续打开对应的入库或出库记录，核对金额和数量来源，而不是只停留在汇总数字层面. </w:t>
      </w:r>
    </w:p>
    <w:bookmarkEnd w:id="48"/>
    <w:p w14:paraId="1A168FFA">
      <w:pPr>
        <w:pStyle w:val="6"/>
      </w:pPr>
      <w:bookmarkStart w:id="49" w:name="库存余额与统计分析需求"/>
      <w:r>
        <w:t>3.2.10 库存余额与统计分析需求</w:t>
      </w:r>
    </w:p>
    <w:p w14:paraId="388B31B7">
      <w:pPr>
        <w:spacing w:before="0" w:after="0" w:line="360" w:lineRule="auto"/>
        <w:ind w:firstLine="480"/>
        <w:jc w:val="both"/>
        <w:rPr>
          <w:rFonts w:hint="eastAsia" w:eastAsia="宋体"/>
          <w:lang w:eastAsia="zh-CN"/>
        </w:rPr>
      </w:pPr>
      <w:r>
        <w:t xml:space="preserve">库存余额与统计分析模块面向管理查询，核心目标是把分散的入库、出库和变动记录汇总成可核对、可分析的结果. </w:t>
      </w:r>
    </w:p>
    <w:p w14:paraId="46089232">
      <w:pPr>
        <w:spacing w:before="0" w:after="0" w:line="360" w:lineRule="auto"/>
        <w:ind w:firstLine="480"/>
        <w:jc w:val="both"/>
        <w:rPr>
          <w:rFonts w:hint="eastAsia" w:eastAsia="宋体"/>
          <w:lang w:eastAsia="zh-CN"/>
        </w:rPr>
      </w:pPr>
      <w:r>
        <w:t xml:space="preserve">（1）仓库余额统计. 系统应支持按日期和仓库维度统计库存余额，输出每个仓库对应的库存金额结果，帮助企业掌握各库房的存货状况. </w:t>
      </w:r>
    </w:p>
    <w:p w14:paraId="5CA27DF6">
      <w:pPr>
        <w:spacing w:before="0" w:after="0" w:line="360" w:lineRule="auto"/>
        <w:ind w:firstLine="480"/>
        <w:jc w:val="both"/>
        <w:rPr>
          <w:rFonts w:hint="eastAsia" w:eastAsia="宋体"/>
          <w:lang w:eastAsia="zh-CN"/>
        </w:rPr>
      </w:pPr>
      <w:r>
        <w:t xml:space="preserve">（2）入出库统计. 系统应提供入库记录、出库记录和仓库资金变动明细等统计页面，便于从不同角度查看库存流转过程. </w:t>
      </w:r>
    </w:p>
    <w:p w14:paraId="1FE5B595">
      <w:pPr>
        <w:spacing w:before="0" w:after="0" w:line="360" w:lineRule="auto"/>
        <w:ind w:firstLine="480"/>
        <w:jc w:val="both"/>
        <w:rPr>
          <w:rFonts w:hint="eastAsia" w:eastAsia="宋体"/>
          <w:lang w:eastAsia="zh-CN"/>
        </w:rPr>
      </w:pPr>
      <w:r>
        <w:t xml:space="preserve">（3）多条件筛选. 统计查询应支持日期、仓库、产品级别、客户、供应商、车辆、车队、银行卡、科目和金额区间等条件组合，便于用户缩小核对范围，减少在大量记录中人工查找. </w:t>
      </w:r>
    </w:p>
    <w:bookmarkEnd w:id="49"/>
    <w:p w14:paraId="4940D8DB">
      <w:pPr>
        <w:pStyle w:val="6"/>
      </w:pPr>
      <w:bookmarkStart w:id="50" w:name="数据导出与异步反馈需求"/>
      <w:r>
        <w:t>3.2.11 数据导出与异步反馈需求</w:t>
      </w:r>
    </w:p>
    <w:p w14:paraId="4F687F22">
      <w:pPr>
        <w:spacing w:before="0" w:after="0" w:line="360" w:lineRule="auto"/>
        <w:ind w:firstLine="480"/>
        <w:jc w:val="both"/>
        <w:rPr>
          <w:rFonts w:hint="eastAsia" w:eastAsia="宋体"/>
          <w:lang w:eastAsia="zh-CN"/>
        </w:rPr>
      </w:pPr>
      <w:r>
        <w:t xml:space="preserve">仓储数据经常需要用于内部核对、经营分析和对外报送，因此导出能力不能只停留在简单下载层面，还需要考虑大数据量处理和等待过程中的状态反馈. </w:t>
      </w:r>
    </w:p>
    <w:p w14:paraId="5E4D1E5E">
      <w:pPr>
        <w:spacing w:before="0" w:after="0" w:line="360" w:lineRule="auto"/>
        <w:ind w:firstLine="480"/>
        <w:jc w:val="both"/>
        <w:rPr>
          <w:rFonts w:hint="eastAsia" w:eastAsia="宋体"/>
          <w:lang w:eastAsia="zh-CN"/>
        </w:rPr>
      </w:pPr>
      <w:r>
        <w:t xml:space="preserve">（1）结构化导出. 系统应支持将入库记录、出库记录、仓库余额表和仓库变动明细导出为 Excel 文件，确保查询结果可以直接用于存档、核对和汇报. </w:t>
      </w:r>
    </w:p>
    <w:p w14:paraId="144C8107">
      <w:pPr>
        <w:spacing w:before="0" w:after="0" w:line="360" w:lineRule="auto"/>
        <w:ind w:firstLine="480"/>
        <w:jc w:val="both"/>
        <w:rPr>
          <w:rFonts w:hint="eastAsia" w:eastAsia="宋体"/>
          <w:lang w:eastAsia="zh-CN"/>
        </w:rPr>
      </w:pPr>
      <w:r>
        <w:t xml:space="preserve">（2）大批量导出. 时间跨度较长或记录数量较多时，导出任务不宜阻塞当前页面，应交由后台处理，前端继续保留状态查询入口. </w:t>
      </w:r>
    </w:p>
    <w:p w14:paraId="6FCA9F69">
      <w:pPr>
        <w:spacing w:before="0" w:after="0" w:line="360" w:lineRule="auto"/>
        <w:ind w:firstLine="480"/>
        <w:jc w:val="both"/>
        <w:rPr>
          <w:rFonts w:hint="eastAsia" w:eastAsia="宋体"/>
          <w:lang w:eastAsia="zh-CN"/>
        </w:rPr>
      </w:pPr>
      <w:r>
        <w:t xml:space="preserve">（3）进度反馈. 导出过程中，前端需要获得当前处理模块、完成比例和异常提示，使用户能够判断任务是在执行、完成还是失败. </w:t>
      </w:r>
    </w:p>
    <w:bookmarkEnd w:id="50"/>
    <w:p w14:paraId="7CCC3731">
      <w:pPr>
        <w:pStyle w:val="6"/>
      </w:pPr>
      <w:bookmarkStart w:id="51" w:name="系统监控与运行维护需求"/>
      <w:r>
        <w:t>3.2.12 系统监控与运行维护需求</w:t>
      </w:r>
    </w:p>
    <w:p w14:paraId="7DEBCEC2">
      <w:pPr>
        <w:spacing w:before="0" w:after="0" w:line="360" w:lineRule="auto"/>
        <w:ind w:firstLine="480"/>
        <w:jc w:val="both"/>
        <w:rPr>
          <w:rFonts w:hint="eastAsia" w:eastAsia="宋体"/>
          <w:lang w:eastAsia="zh-CN"/>
        </w:rPr>
      </w:pPr>
      <w:r>
        <w:t xml:space="preserve">除业务操作外，系统还需要保留基本运行维护能力. 管理员需要通过日志、缓存状态和任务执行信息判断系统是否正常运行，并在导出失败、权限异常或库存数据异常时进行排查. </w:t>
      </w:r>
    </w:p>
    <w:p w14:paraId="7C824A14">
      <w:pPr>
        <w:spacing w:before="0" w:after="0" w:line="360" w:lineRule="auto"/>
        <w:ind w:firstLine="480"/>
        <w:jc w:val="both"/>
        <w:rPr>
          <w:rFonts w:hint="eastAsia" w:eastAsia="宋体"/>
          <w:lang w:eastAsia="zh-CN"/>
        </w:rPr>
      </w:pPr>
      <w:r>
        <w:t xml:space="preserve">（1）日志与缓存监控. 系统应支持查看操作日志、登录信息和缓存状态，便于管理员定位异常访问和运行问题. </w:t>
      </w:r>
    </w:p>
    <w:p w14:paraId="00E43A2D">
      <w:pPr>
        <w:spacing w:before="0" w:after="0" w:line="360" w:lineRule="auto"/>
        <w:ind w:firstLine="480"/>
        <w:jc w:val="both"/>
        <w:rPr>
          <w:rFonts w:hint="eastAsia" w:eastAsia="宋体"/>
          <w:lang w:eastAsia="zh-CN"/>
        </w:rPr>
      </w:pPr>
      <w:r>
        <w:t xml:space="preserve">（2）任务维护. 导出恢复、异步重试和定时处理都需要可查看的任务状态，管理员才能判断后台任务是否堆积或失败. </w:t>
      </w:r>
    </w:p>
    <w:p w14:paraId="4F977D78">
      <w:pPr>
        <w:spacing w:before="0" w:after="0" w:line="360" w:lineRule="auto"/>
        <w:ind w:firstLine="480"/>
        <w:jc w:val="both"/>
        <w:rPr>
          <w:rFonts w:hint="eastAsia" w:eastAsia="宋体"/>
          <w:lang w:eastAsia="zh-CN"/>
        </w:rPr>
      </w:pPr>
      <w:r>
        <w:t xml:space="preserve">（3）故障排查. 库存异常、导出失败或权限失效时，系统应保留错误提示、消息记录和运行信息，便于定位问题发生在哪个环节. </w:t>
      </w:r>
    </w:p>
    <w:bookmarkEnd w:id="51"/>
    <w:p w14:paraId="1030C79F">
      <w:pPr>
        <w:pStyle w:val="3"/>
      </w:pPr>
      <w:bookmarkStart w:id="52" w:name="_Toc413851805"/>
      <w:bookmarkStart w:id="53" w:name="_Toc2001288877"/>
      <w:bookmarkStart w:id="54" w:name="_Toc010012"/>
      <w:bookmarkStart w:id="55" w:name="非功能需求分析"/>
      <w:r>
        <w:t>3.3 非功能需求分析</w:t>
      </w:r>
      <w:bookmarkEnd w:id="52"/>
      <w:bookmarkEnd w:id="53"/>
      <w:bookmarkEnd w:id="54"/>
    </w:p>
    <w:p w14:paraId="4080FB67">
      <w:pPr>
        <w:pStyle w:val="6"/>
      </w:pPr>
      <w:bookmarkStart w:id="56" w:name="性能需求"/>
      <w:r>
        <w:t>3.3.1 性能需求</w:t>
      </w:r>
    </w:p>
    <w:p w14:paraId="0DEABC26">
      <w:pPr>
        <w:spacing w:before="0" w:after="0" w:line="360" w:lineRule="auto"/>
        <w:ind w:firstLine="480"/>
        <w:jc w:val="both"/>
        <w:rPr>
          <w:rFonts w:hint="eastAsia" w:eastAsia="宋体"/>
          <w:lang w:eastAsia="zh-CN"/>
        </w:rPr>
      </w:pPr>
      <w:r>
        <w:t xml:space="preserve">（1）系统需要支撑仓库、库存、订单和统计页面的日常访问，在常规录入和查询场景下保持可接受的响应时间. </w:t>
      </w:r>
    </w:p>
    <w:p w14:paraId="01F4BCE2">
      <w:pPr>
        <w:spacing w:before="0" w:after="0" w:line="360" w:lineRule="auto"/>
        <w:ind w:firstLine="480"/>
        <w:jc w:val="both"/>
        <w:rPr>
          <w:rFonts w:hint="eastAsia" w:eastAsia="宋体"/>
          <w:lang w:eastAsia="zh-CN"/>
        </w:rPr>
      </w:pPr>
      <w:r>
        <w:t xml:space="preserve">（2）库存记录、出库记录和统计结果可能随业务积累不断增加，相关查询应使用分页、筛选条件和必要索引，避免一次性读取过多数据. </w:t>
      </w:r>
    </w:p>
    <w:p w14:paraId="4BA49E55">
      <w:pPr>
        <w:spacing w:before="0" w:after="0" w:line="360" w:lineRule="auto"/>
        <w:ind w:firstLine="480"/>
        <w:jc w:val="both"/>
        <w:rPr>
          <w:rFonts w:hint="eastAsia" w:eastAsia="宋体"/>
          <w:lang w:eastAsia="zh-CN"/>
        </w:rPr>
      </w:pPr>
      <w:r>
        <w:t xml:space="preserve">（3）登录态、仓库、产品级别和字典项等高频数据可进入缓存，但缓存失效必须与业务变更联动，避免用过期数据参与库存判断. </w:t>
      </w:r>
    </w:p>
    <w:p w14:paraId="55418E36">
      <w:pPr>
        <w:spacing w:before="0" w:after="0" w:line="360" w:lineRule="auto"/>
        <w:ind w:firstLine="480"/>
        <w:jc w:val="both"/>
        <w:rPr>
          <w:rFonts w:hint="eastAsia" w:eastAsia="宋体"/>
          <w:lang w:eastAsia="zh-CN"/>
        </w:rPr>
      </w:pPr>
      <w:r>
        <w:t xml:space="preserve">（4）Excel导出面对大批量数据时应采用流式写入或后台任务方式，减少内存压力，并避免用户长时间停留在等待状态. </w:t>
      </w:r>
    </w:p>
    <w:bookmarkEnd w:id="56"/>
    <w:p w14:paraId="2FE27FC3">
      <w:pPr>
        <w:pStyle w:val="6"/>
      </w:pPr>
      <w:bookmarkStart w:id="57" w:name="安全性需求"/>
      <w:r>
        <w:t>3.3.2 安全性需求</w:t>
      </w:r>
    </w:p>
    <w:p w14:paraId="16A5C54E">
      <w:pPr>
        <w:spacing w:before="0" w:after="0" w:line="360" w:lineRule="auto"/>
        <w:ind w:firstLine="480"/>
        <w:jc w:val="both"/>
        <w:rPr>
          <w:rFonts w:hint="eastAsia" w:eastAsia="宋体"/>
          <w:lang w:eastAsia="zh-CN"/>
        </w:rPr>
      </w:pPr>
      <w:r>
        <w:t xml:space="preserve">（1）用户密码需要采用安全散列算法进行存储，防止账户信息泄露后被直接还原. </w:t>
      </w:r>
    </w:p>
    <w:p w14:paraId="18154783">
      <w:pPr>
        <w:spacing w:before="0" w:after="0" w:line="360" w:lineRule="auto"/>
        <w:ind w:firstLine="480"/>
        <w:jc w:val="both"/>
        <w:rPr>
          <w:rFonts w:hint="eastAsia" w:eastAsia="宋体"/>
          <w:lang w:eastAsia="zh-CN"/>
        </w:rPr>
      </w:pPr>
      <w:r>
        <w:t xml:space="preserve">（2）系统所有受保护接口均应校验 JWT 令牌，未通过认证的请求不得访问库存录入、出库处理、审核控制和导出接口. </w:t>
      </w:r>
    </w:p>
    <w:p w14:paraId="24C460A2">
      <w:pPr>
        <w:spacing w:before="0" w:after="0" w:line="360" w:lineRule="auto"/>
        <w:ind w:firstLine="480"/>
        <w:jc w:val="both"/>
        <w:rPr>
          <w:rFonts w:hint="eastAsia" w:eastAsia="宋体"/>
          <w:lang w:eastAsia="zh-CN"/>
        </w:rPr>
      </w:pPr>
      <w:r>
        <w:t xml:space="preserve">（3）系统应通过角色权限、菜单权限和按钮权限等多层机制限制用户访问范围，防止越权操作. </w:t>
      </w:r>
    </w:p>
    <w:p w14:paraId="2D12A0EC">
      <w:pPr>
        <w:spacing w:before="0" w:after="0" w:line="360" w:lineRule="auto"/>
        <w:ind w:firstLine="480"/>
        <w:jc w:val="both"/>
        <w:rPr>
          <w:rFonts w:hint="eastAsia" w:eastAsia="宋体"/>
          <w:lang w:eastAsia="zh-CN"/>
        </w:rPr>
      </w:pPr>
      <w:r>
        <w:t xml:space="preserve">（4）对于文件上传、查询参数和接口访问，系统还应具备必要的输入校验和异常拦截能力，以减少恶意请求或错误输入带来的风险. </w:t>
      </w:r>
    </w:p>
    <w:bookmarkEnd w:id="57"/>
    <w:p w14:paraId="2F7B0FD0">
      <w:pPr>
        <w:pStyle w:val="6"/>
      </w:pPr>
      <w:bookmarkStart w:id="58" w:name="数据完整性需求"/>
      <w:r>
        <w:t>3.3.3 数据完整性需求</w:t>
      </w:r>
    </w:p>
    <w:p w14:paraId="1729228A">
      <w:pPr>
        <w:spacing w:before="0" w:after="0" w:line="360" w:lineRule="auto"/>
        <w:ind w:firstLine="480"/>
        <w:jc w:val="both"/>
        <w:rPr>
          <w:rFonts w:hint="eastAsia" w:eastAsia="宋体"/>
          <w:lang w:eastAsia="zh-CN"/>
        </w:rPr>
      </w:pPr>
      <w:r>
        <w:t xml:space="preserve">（1）核心仓储记录需要保留追溯线索. 删除操作宜采用逻辑删除或历史标记，便于后续审计、责任核对和问题回查. </w:t>
      </w:r>
    </w:p>
    <w:p w14:paraId="7696F5DF">
      <w:pPr>
        <w:spacing w:before="0" w:after="0" w:line="360" w:lineRule="auto"/>
        <w:ind w:firstLine="480"/>
        <w:jc w:val="both"/>
        <w:rPr>
          <w:rFonts w:hint="eastAsia" w:eastAsia="宋体"/>
          <w:lang w:eastAsia="zh-CN"/>
        </w:rPr>
      </w:pPr>
      <w:r>
        <w:t xml:space="preserve">（2）对已经审核通过的关键库存记录，系统应具备审核锁定或受限修改能力，防止业务结果被随意篡改. </w:t>
      </w:r>
    </w:p>
    <w:p w14:paraId="632F438F">
      <w:pPr>
        <w:spacing w:before="0" w:after="0" w:line="360" w:lineRule="auto"/>
        <w:ind w:firstLine="480"/>
        <w:jc w:val="both"/>
        <w:rPr>
          <w:rFonts w:hint="eastAsia" w:eastAsia="宋体"/>
          <w:lang w:eastAsia="zh-CN"/>
        </w:rPr>
      </w:pPr>
      <w:r>
        <w:t xml:space="preserve">（3）入库、出库、库存余额和统计结果之间的关键联动应在明确的业务边界内完成，对需要异步处理的场景则应具备失败重试和状态跟踪能力. </w:t>
      </w:r>
    </w:p>
    <w:p w14:paraId="5E3CBFCA">
      <w:pPr>
        <w:spacing w:before="0" w:after="0" w:line="360" w:lineRule="auto"/>
        <w:ind w:firstLine="480"/>
        <w:jc w:val="both"/>
        <w:rPr>
          <w:rFonts w:hint="eastAsia" w:eastAsia="宋体"/>
          <w:lang w:eastAsia="zh-CN"/>
        </w:rPr>
      </w:pPr>
      <w:r>
        <w:t xml:space="preserve">（4）系统应通过前置校验、唯一约束和参数校验机制保证关键字段的合法性，例如仓库名称、产品级别、库存数量、金额字段和业务状态等数据应满足基本规则要求. </w:t>
      </w:r>
    </w:p>
    <w:p w14:paraId="228141C5">
      <w:pPr>
        <w:spacing w:before="0" w:after="0" w:line="360" w:lineRule="auto"/>
        <w:ind w:firstLine="480"/>
        <w:jc w:val="both"/>
        <w:rPr>
          <w:rFonts w:hint="eastAsia" w:eastAsia="宋体"/>
          <w:lang w:eastAsia="zh-CN"/>
        </w:rPr>
      </w:pPr>
      <w:r>
        <w:t xml:space="preserve">（5）在名称同步、状态回写、附件更新和报表导出等跨模块场景中，系统应尽量避免因单点失败导致数据口径不一致，从而保证库存查询和统计结果的可信度. </w:t>
      </w:r>
    </w:p>
    <w:bookmarkEnd w:id="32"/>
    <w:bookmarkEnd w:id="55"/>
    <w:bookmarkEnd w:id="58"/>
    <w:p w14:paraId="34EC3340">
      <w:pPr>
        <w:pStyle w:val="2"/>
      </w:pPr>
      <w:bookmarkStart w:id="59" w:name="_Toc010013"/>
      <w:bookmarkStart w:id="60" w:name="_Toc1773276425"/>
      <w:bookmarkStart w:id="61" w:name="_Toc2055237649"/>
      <w:bookmarkStart w:id="62" w:name="系统设计"/>
      <w:r>
        <w:t>4 系统设计</w:t>
      </w:r>
      <w:bookmarkEnd w:id="59"/>
      <w:bookmarkEnd w:id="60"/>
      <w:bookmarkEnd w:id="61"/>
    </w:p>
    <w:p w14:paraId="552A4A5E">
      <w:pPr>
        <w:pStyle w:val="3"/>
      </w:pPr>
      <w:bookmarkStart w:id="63" w:name="_Toc678821909"/>
      <w:bookmarkStart w:id="64" w:name="_Toc010014"/>
      <w:bookmarkStart w:id="65" w:name="_Toc104704748"/>
      <w:bookmarkStart w:id="66" w:name="系统设计目标与原则"/>
      <w:r>
        <w:t>4.1 系统设计目标与原则</w:t>
      </w:r>
      <w:bookmarkEnd w:id="63"/>
      <w:bookmarkEnd w:id="64"/>
      <w:bookmarkEnd w:id="65"/>
    </w:p>
    <w:p w14:paraId="27F44ECC">
      <w:pPr>
        <w:spacing w:before="0" w:after="0" w:line="360" w:lineRule="auto"/>
        <w:ind w:firstLine="480"/>
        <w:jc w:val="both"/>
        <w:rPr>
          <w:rFonts w:hint="eastAsia" w:eastAsia="宋体"/>
          <w:lang w:eastAsia="zh-CN"/>
        </w:rPr>
      </w:pPr>
      <w:r>
        <w:t xml:space="preserve">玻璃供应链WMS的设计重点不在于堆叠功能菜单，而在于把规格、仓库、订单、审核和报表之间的关系处理清楚. 设计阶段需要同时考虑多规格库存如何入账、多仓数据如何核对、订单与出库如何衔接、业务状态如何追溯以及大批量报表如何输出. 基于这些问题，系统设计遵循以下原则. </w:t>
      </w:r>
    </w:p>
    <w:p w14:paraId="0504F67B">
      <w:pPr>
        <w:spacing w:before="0" w:after="0" w:line="360" w:lineRule="auto"/>
        <w:ind w:firstLine="480"/>
        <w:jc w:val="both"/>
        <w:rPr>
          <w:rFonts w:hint="eastAsia" w:eastAsia="宋体"/>
          <w:lang w:eastAsia="zh-CN"/>
        </w:rPr>
      </w:pPr>
      <w:r>
        <w:t>（1）库存一致性优先. 库存数量、库存金额、审核状态和出库结果</w:t>
      </w:r>
      <w:r>
        <w:rPr>
          <w:rFonts w:hint="eastAsia"/>
          <w:lang w:val="en-US" w:eastAsia="zh-CN"/>
        </w:rPr>
        <w:t>都</w:t>
      </w:r>
      <w:r>
        <w:t>是系统中最敏感的数据口径，入库、出库和审核操作必须在清晰的业务边界内</w:t>
      </w:r>
      <w:r>
        <w:rPr>
          <w:rFonts w:hint="eastAsia"/>
          <w:lang w:val="en-US" w:eastAsia="zh-CN"/>
        </w:rPr>
        <w:t>来</w:t>
      </w:r>
      <w:r>
        <w:t>更新. 名称冗余刷新、统计刷新等非主链路动作可以延后，但不能改变库存</w:t>
      </w:r>
      <w:r>
        <w:rPr>
          <w:rFonts w:hint="eastAsia"/>
          <w:lang w:val="en-US" w:eastAsia="zh-CN"/>
        </w:rPr>
        <w:t>的</w:t>
      </w:r>
      <w:r>
        <w:t xml:space="preserve">最终结果. </w:t>
      </w:r>
    </w:p>
    <w:p w14:paraId="600D3862">
      <w:pPr>
        <w:spacing w:before="0" w:after="0" w:line="360" w:lineRule="auto"/>
        <w:ind w:firstLine="480"/>
        <w:jc w:val="both"/>
        <w:rPr>
          <w:rFonts w:hint="eastAsia" w:eastAsia="宋体"/>
          <w:lang w:eastAsia="zh-CN"/>
        </w:rPr>
      </w:pPr>
      <w:r>
        <w:t>（2）模块边界清晰. 用户权限、基础数据、订单协同、仓储作业、资金结算、运输管理和统计报表分别处理不同</w:t>
      </w:r>
      <w:r>
        <w:rPr>
          <w:rFonts w:hint="eastAsia"/>
          <w:lang w:val="en-US" w:eastAsia="zh-CN"/>
        </w:rPr>
        <w:t>的</w:t>
      </w:r>
      <w:r>
        <w:t xml:space="preserve">职责. 采用模块化单体后，各模块仍在同一应用内运行，事务边界更容易控制，也符合毕业设计阶段的开发和部署规模. </w:t>
      </w:r>
    </w:p>
    <w:p w14:paraId="62554609">
      <w:pPr>
        <w:spacing w:before="0" w:after="0" w:line="360" w:lineRule="auto"/>
        <w:ind w:firstLine="480"/>
        <w:jc w:val="both"/>
        <w:rPr>
          <w:rFonts w:hint="eastAsia" w:eastAsia="宋体"/>
          <w:lang w:eastAsia="zh-CN"/>
        </w:rPr>
      </w:pPr>
      <w:r>
        <w:t>（3）面向业务场景建模. 玻璃产品不能只用普通“商品名称+数量”</w:t>
      </w:r>
      <w:r>
        <w:rPr>
          <w:rFonts w:hint="eastAsia"/>
          <w:lang w:val="en-US" w:eastAsia="zh-CN"/>
        </w:rPr>
        <w:t>来</w:t>
      </w:r>
      <w:r>
        <w:t>描述，厚度、长度、宽度、片数、包数和金额都会影响库存</w:t>
      </w:r>
      <w:r>
        <w:rPr>
          <w:rFonts w:hint="eastAsia"/>
          <w:lang w:val="en-US" w:eastAsia="zh-CN"/>
        </w:rPr>
        <w:t>的</w:t>
      </w:r>
      <w:r>
        <w:t xml:space="preserve">含义. </w:t>
      </w:r>
      <w:r>
        <w:rPr>
          <w:rFonts w:hint="eastAsia"/>
          <w:lang w:val="en-US" w:eastAsia="zh-CN"/>
        </w:rPr>
        <w:t>所以</w:t>
      </w:r>
      <w:bookmarkStart w:id="187" w:name="_GoBack"/>
      <w:bookmarkEnd w:id="187"/>
      <w:r>
        <w:t xml:space="preserve">，数据模型围绕仓库、产品级别、订单、库存主单、库存明细和出库记录展开，而不是照搬通用仓储字段. </w:t>
      </w:r>
    </w:p>
    <w:p w14:paraId="0DDA3315">
      <w:pPr>
        <w:spacing w:before="0" w:after="0" w:line="360" w:lineRule="auto"/>
        <w:ind w:firstLine="480"/>
        <w:jc w:val="both"/>
        <w:rPr>
          <w:rFonts w:hint="eastAsia" w:eastAsia="宋体"/>
          <w:lang w:eastAsia="zh-CN"/>
        </w:rPr>
      </w:pPr>
      <w:r>
        <w:t xml:space="preserve">（4）可追溯与可审计. 仓储争议通常发生在审核、附件、出库方向和统计差异等环节. 系统在这些位置保留状态、资料和历史查询入口，便于后续回到原始业务记录进行核对. </w:t>
      </w:r>
    </w:p>
    <w:p w14:paraId="5A3E4BE3">
      <w:pPr>
        <w:spacing w:before="0" w:after="0" w:line="360" w:lineRule="auto"/>
        <w:ind w:firstLine="480"/>
        <w:jc w:val="both"/>
        <w:rPr>
          <w:rFonts w:hint="eastAsia" w:eastAsia="宋体"/>
          <w:lang w:eastAsia="zh-CN"/>
        </w:rPr>
      </w:pPr>
      <w:r>
        <w:t xml:space="preserve">（5）兼顾扩展与落地. 对于本课题的业务规模而言，过度拆分的微服务方案会增加部署和联调负担. 模块化单体配合事件驱动、缓存和消息机制，既能支撑当前业务运行，也保留了后续扩展移动端采集、智能预警等能力的接口空间. </w:t>
      </w:r>
    </w:p>
    <w:bookmarkEnd w:id="66"/>
    <w:p w14:paraId="2B4E9CF1">
      <w:pPr>
        <w:pStyle w:val="3"/>
      </w:pPr>
      <w:bookmarkStart w:id="67" w:name="_Toc1526691699"/>
      <w:bookmarkStart w:id="68" w:name="_Toc010015"/>
      <w:bookmarkStart w:id="69" w:name="_Toc983592743"/>
      <w:bookmarkStart w:id="70" w:name="系统架构设计"/>
      <w:r>
        <w:t>4.2 系统架构设计</w:t>
      </w:r>
      <w:bookmarkEnd w:id="67"/>
      <w:bookmarkEnd w:id="68"/>
      <w:bookmarkEnd w:id="69"/>
    </w:p>
    <w:p w14:paraId="5A4D5AD4">
      <w:pPr>
        <w:spacing w:before="0" w:after="0" w:line="360" w:lineRule="auto"/>
        <w:ind w:firstLine="480"/>
        <w:jc w:val="both"/>
        <w:rPr>
          <w:rFonts w:hint="eastAsia" w:eastAsia="宋体"/>
          <w:lang w:eastAsia="zh-CN"/>
        </w:rPr>
      </w:pPr>
      <w:r>
        <w:t xml:space="preserve">本系统总体采用前后端分离的模块化单体架构. 前端负责页面展示、表单录入、查询交互和导出反馈，后端负责权限认证、业务处理、数据持久化和异步任务执行. 整体架构按职责划分为表示层、安全过滤层、业务逻辑层、数据访问层和基础设施层，系统分层结构如图6所示. </w:t>
      </w:r>
    </w:p>
    <w:p w14:paraId="27D8B7A2">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4843145" cy="3884930"/>
            <wp:effectExtent l="0" t="0" r="8255" b="1270"/>
            <wp:docPr id="116" name="Picture" descr="图6 系统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图6 系统分层架构图"/>
                    <pic:cNvPicPr>
                      <a:picLocks noChangeAspect="1" noChangeArrowheads="1"/>
                    </pic:cNvPicPr>
                  </pic:nvPicPr>
                  <pic:blipFill>
                    <a:blip r:embed="rId12"/>
                    <a:stretch>
                      <a:fillRect/>
                    </a:stretch>
                  </pic:blipFill>
                  <pic:spPr>
                    <a:xfrm>
                      <a:off x="0" y="0"/>
                      <a:ext cx="4843145" cy="3884930"/>
                    </a:xfrm>
                    <a:prstGeom prst="rect">
                      <a:avLst/>
                    </a:prstGeom>
                    <a:noFill/>
                    <a:ln w="9525">
                      <a:noFill/>
                    </a:ln>
                  </pic:spPr>
                </pic:pic>
              </a:graphicData>
            </a:graphic>
          </wp:inline>
        </w:drawing>
      </w:r>
    </w:p>
    <w:p w14:paraId="7329887F">
      <w:pPr>
        <w:bidi w:val="0"/>
        <w:jc w:val="center"/>
        <w:rPr>
          <w:rFonts w:ascii="宋体" w:hAnsi="宋体" w:eastAsia="宋体" w:cs="宋体"/>
          <w:color w:val="auto"/>
          <w:sz w:val="18"/>
        </w:rPr>
      </w:pPr>
      <w:r>
        <w:rPr>
          <w:rFonts w:ascii="宋体" w:hAnsi="宋体" w:eastAsia="宋体" w:cs="宋体"/>
          <w:color w:val="auto"/>
          <w:sz w:val="18"/>
        </w:rPr>
        <w:t>图6 系统分层架构图</w:t>
      </w:r>
    </w:p>
    <w:p w14:paraId="5A7605C9">
      <w:pPr>
        <w:spacing w:before="0" w:after="0" w:line="360" w:lineRule="auto"/>
        <w:ind w:firstLine="480"/>
        <w:jc w:val="both"/>
        <w:rPr>
          <w:rFonts w:hint="eastAsia" w:eastAsia="宋体"/>
          <w:lang w:eastAsia="zh-CN"/>
        </w:rPr>
      </w:pPr>
      <w:r>
        <w:t xml:space="preserve">如图6所示，系统自上而下由以下五个层次组成. </w:t>
      </w:r>
    </w:p>
    <w:p w14:paraId="5673D319">
      <w:pPr>
        <w:spacing w:before="0" w:after="0" w:line="360" w:lineRule="auto"/>
        <w:ind w:firstLine="480"/>
        <w:jc w:val="both"/>
        <w:rPr>
          <w:rFonts w:hint="eastAsia" w:eastAsia="宋体"/>
          <w:lang w:eastAsia="zh-CN"/>
        </w:rPr>
      </w:pPr>
      <w:r>
        <w:t xml:space="preserve">（1）表示层. 前端使用Vue.js与Element UI实现后台单页应用，Vuex保存用户、路由和导出进度等共享状态，Axios负责与后端接口通信. 仓库管理、订单查询、入库、出库、库存统计和报表导出等操作都从这一层进入系统. </w:t>
      </w:r>
    </w:p>
    <w:p w14:paraId="7E215EA1">
      <w:pPr>
        <w:spacing w:before="0" w:after="0" w:line="360" w:lineRule="auto"/>
        <w:ind w:firstLine="480"/>
        <w:jc w:val="both"/>
        <w:rPr>
          <w:rFonts w:hint="eastAsia" w:eastAsia="宋体"/>
          <w:lang w:eastAsia="zh-CN"/>
        </w:rPr>
      </w:pPr>
      <w:r>
        <w:t>（2）安全过滤层. 该层位于业务控制器之前，主要处理JWT令牌</w:t>
      </w:r>
      <w:r>
        <w:rPr>
          <w:rFonts w:hint="eastAsia"/>
          <w:lang w:val="en-US" w:eastAsia="zh-CN"/>
        </w:rPr>
        <w:t>的</w:t>
      </w:r>
      <w:r>
        <w:t>解析、登录状态</w:t>
      </w:r>
      <w:r>
        <w:rPr>
          <w:rFonts w:hint="eastAsia"/>
          <w:lang w:val="en-US" w:eastAsia="zh-CN"/>
        </w:rPr>
        <w:t>的</w:t>
      </w:r>
      <w:r>
        <w:t>恢复和访问权限</w:t>
      </w:r>
      <w:r>
        <w:rPr>
          <w:rFonts w:hint="eastAsia"/>
          <w:lang w:val="en-US" w:eastAsia="zh-CN"/>
        </w:rPr>
        <w:t>的</w:t>
      </w:r>
      <w:r>
        <w:t>判断. 只有身份与权限校验通过的请求，才会进入仓储业务接口，避免关键</w:t>
      </w:r>
      <w:r>
        <w:rPr>
          <w:rFonts w:hint="eastAsia"/>
          <w:lang w:val="en-US" w:eastAsia="zh-CN"/>
        </w:rPr>
        <w:t>的</w:t>
      </w:r>
      <w:r>
        <w:t xml:space="preserve">库存和导出功能被越权调用. </w:t>
      </w:r>
    </w:p>
    <w:p w14:paraId="610B5CA2">
      <w:pPr>
        <w:spacing w:before="0" w:after="0" w:line="360" w:lineRule="auto"/>
        <w:ind w:firstLine="480"/>
        <w:jc w:val="both"/>
        <w:rPr>
          <w:rFonts w:hint="eastAsia" w:eastAsia="宋体"/>
          <w:lang w:eastAsia="zh-CN"/>
        </w:rPr>
      </w:pPr>
      <w:r>
        <w:t>（3）业务逻辑层. 订单衔接、入库主从表维护、出库流向登记、审核控制、附件更新和统计结果生成都集中在这一层</w:t>
      </w:r>
      <w:r>
        <w:rPr>
          <w:rFonts w:hint="eastAsia"/>
          <w:lang w:val="en-US" w:eastAsia="zh-CN"/>
        </w:rPr>
        <w:t>来</w:t>
      </w:r>
      <w:r>
        <w:t>处理. 对于库存</w:t>
      </w:r>
      <w:r>
        <w:rPr>
          <w:rFonts w:hint="eastAsia"/>
          <w:lang w:val="en-US" w:eastAsia="zh-CN"/>
        </w:rPr>
        <w:t>的</w:t>
      </w:r>
      <w:r>
        <w:t>联动、状态</w:t>
      </w:r>
      <w:r>
        <w:rPr>
          <w:rFonts w:hint="eastAsia"/>
          <w:lang w:val="en-US" w:eastAsia="zh-CN"/>
        </w:rPr>
        <w:t>的</w:t>
      </w:r>
      <w:r>
        <w:t>回写和冗余字段</w:t>
      </w:r>
      <w:r>
        <w:rPr>
          <w:rFonts w:hint="eastAsia"/>
          <w:lang w:val="en-US" w:eastAsia="zh-CN"/>
        </w:rPr>
        <w:t>的</w:t>
      </w:r>
      <w:r>
        <w:t>刷新等附加动作，系统借助AOP与事件驱动机制拆出独立</w:t>
      </w:r>
      <w:r>
        <w:rPr>
          <w:rFonts w:hint="eastAsia"/>
          <w:lang w:val="en-US" w:eastAsia="zh-CN"/>
        </w:rPr>
        <w:t>的</w:t>
      </w:r>
      <w:r>
        <w:t xml:space="preserve">处理链，减少主服务方法的耦合. </w:t>
      </w:r>
    </w:p>
    <w:p w14:paraId="17B4425F">
      <w:pPr>
        <w:spacing w:before="0" w:after="0" w:line="360" w:lineRule="auto"/>
        <w:ind w:firstLine="480"/>
        <w:jc w:val="both"/>
        <w:rPr>
          <w:rFonts w:hint="eastAsia" w:eastAsia="宋体"/>
          <w:lang w:eastAsia="zh-CN"/>
        </w:rPr>
      </w:pPr>
      <w:r>
        <w:t xml:space="preserve">（4）数据访问层. 该层负责把业务对象写入数据库并支撑查询. 普通单表维护由MyBatis-Plus和Mapper完成，库存统计、仓库变动明细和报表查询使用自定义SQL；分页条件、排序和部分并发控制也在这一层处理. </w:t>
      </w:r>
    </w:p>
    <w:p w14:paraId="5A3F9EDB">
      <w:pPr>
        <w:spacing w:before="0" w:after="0" w:line="360" w:lineRule="auto"/>
        <w:ind w:firstLine="480"/>
        <w:jc w:val="both"/>
        <w:rPr>
          <w:rFonts w:hint="eastAsia" w:eastAsia="宋体"/>
          <w:lang w:eastAsia="zh-CN"/>
        </w:rPr>
      </w:pPr>
      <w:r>
        <w:t xml:space="preserve">（5）基础设施层. MySQL用于保存核心业务数据，Redis保存登录态和短期缓存，RabbitMQ承接异步同步与通知消息，Quartz负责巡检、重试和恢复任务. 它们不直接呈现仓储页面，却影响系统在长时间运行、导出失败和消息异常时的恢复能力. </w:t>
      </w:r>
    </w:p>
    <w:p w14:paraId="5E1BC9FB">
      <w:pPr>
        <w:spacing w:before="0" w:after="0" w:line="360" w:lineRule="auto"/>
        <w:ind w:firstLine="480"/>
        <w:jc w:val="both"/>
        <w:rPr>
          <w:rFonts w:hint="eastAsia" w:eastAsia="宋体"/>
          <w:lang w:eastAsia="zh-CN"/>
        </w:rPr>
      </w:pPr>
      <w:r>
        <w:t>结合现有实现资料，系统后端代码主要</w:t>
      </w:r>
      <w:r>
        <w:tab/>
      </w:r>
      <w:r>
        <w:t xml:space="preserve">按照 framework、system、web、common 和 quartz 等顶层职责组织，前端业务集中在 packages/order-system 包中，工程结构如表2所示. </w:t>
      </w:r>
    </w:p>
    <w:p w14:paraId="55D4A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表2 系统代码包结构</w:t>
      </w:r>
    </w:p>
    <w:tbl>
      <w:tblPr>
        <w:tblStyle w:val="21"/>
        <w:tblW w:w="0" w:type="auto"/>
        <w:jc w:val="center"/>
        <w:tblCaption w:val="表3 系统代码包结构"/>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90"/>
        <w:gridCol w:w="3190"/>
        <w:gridCol w:w="3190"/>
      </w:tblGrid>
      <w:tr w14:paraId="674CD34B">
        <w:trPr>
          <w:tblHeader/>
          <w:jc w:val="center"/>
        </w:trPr>
        <w:tc>
          <w:tcPr>
            <w:tcBorders>
              <w:bottom w:val="single" w:color="auto" w:sz="4" w:space="0"/>
            </w:tcBorders>
            <w:vAlign w:val="center"/>
          </w:tcPr>
          <w:p w14:paraId="738E36A7">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包名或目录</w:t>
            </w:r>
          </w:p>
        </w:tc>
        <w:tc>
          <w:tcPr>
            <w:tcBorders>
              <w:bottom w:val="single" w:color="auto" w:sz="4" w:space="0"/>
            </w:tcBorders>
            <w:vAlign w:val="center"/>
          </w:tcPr>
          <w:p w14:paraId="1C7F9FA6">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职责</w:t>
            </w:r>
          </w:p>
        </w:tc>
        <w:tc>
          <w:tcPr>
            <w:tcBorders>
              <w:bottom w:val="single" w:color="auto" w:sz="4" w:space="0"/>
            </w:tcBorders>
            <w:vAlign w:val="center"/>
          </w:tcPr>
          <w:p w14:paraId="3E118950">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主要内容</w:t>
            </w:r>
          </w:p>
        </w:tc>
      </w:tr>
      <w:tr w14:paraId="0F27D9BC">
        <w:trPr>
          <w:jc w:val="center"/>
        </w:trPr>
        <w:tc>
          <w:tcPr>
            <w:tcBorders>
              <w:top w:val="single" w:color="auto" w:sz="4" w:space="0"/>
            </w:tcBorders>
            <w:vAlign w:val="center"/>
          </w:tcPr>
          <w:p w14:paraId="74190EF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org.dzu.framework</w:t>
            </w:r>
          </w:p>
        </w:tc>
        <w:tc>
          <w:tcPr>
            <w:tcBorders>
              <w:top w:val="single" w:color="auto" w:sz="4" w:space="0"/>
            </w:tcBorders>
            <w:vAlign w:val="center"/>
          </w:tcPr>
          <w:p w14:paraId="4933A82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基础设施与横切支撑</w:t>
            </w:r>
          </w:p>
        </w:tc>
        <w:tc>
          <w:tcPr>
            <w:tcBorders>
              <w:top w:val="single" w:color="auto" w:sz="4" w:space="0"/>
            </w:tcBorders>
            <w:vAlign w:val="center"/>
          </w:tcPr>
          <w:p w14:paraId="1168E7D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安全配置、事件机制、缓存与拦截</w:t>
            </w:r>
          </w:p>
        </w:tc>
      </w:tr>
      <w:tr w14:paraId="748FB8B2">
        <w:trPr>
          <w:jc w:val="center"/>
        </w:trPr>
        <w:tc>
          <w:tcPr>
            <w:vAlign w:val="center"/>
          </w:tcPr>
          <w:p w14:paraId="0513BEB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org.dzu.system</w:t>
            </w:r>
          </w:p>
        </w:tc>
        <w:tc>
          <w:tcPr>
            <w:vAlign w:val="center"/>
          </w:tcPr>
          <w:p w14:paraId="5D3C2DE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核心业务服务</w:t>
            </w:r>
          </w:p>
        </w:tc>
        <w:tc>
          <w:tcPr>
            <w:vAlign w:val="center"/>
          </w:tcPr>
          <w:p w14:paraId="721E5DA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业务实体、服务实现、监听器、数据访问接口</w:t>
            </w:r>
          </w:p>
        </w:tc>
      </w:tr>
      <w:tr w14:paraId="6165D34D">
        <w:trPr>
          <w:jc w:val="center"/>
        </w:trPr>
        <w:tc>
          <w:tcPr>
            <w:vAlign w:val="center"/>
          </w:tcPr>
          <w:p w14:paraId="243BEC5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org.dzu.web</w:t>
            </w:r>
          </w:p>
        </w:tc>
        <w:tc>
          <w:tcPr>
            <w:vAlign w:val="center"/>
          </w:tcPr>
          <w:p w14:paraId="463DF35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Web接口层</w:t>
            </w:r>
          </w:p>
        </w:tc>
        <w:tc>
          <w:tcPr>
            <w:vAlign w:val="center"/>
          </w:tcPr>
          <w:p w14:paraId="6F58390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控制器、请求接收与统一响应封装</w:t>
            </w:r>
          </w:p>
        </w:tc>
      </w:tr>
      <w:tr w14:paraId="219DAC46">
        <w:trPr>
          <w:jc w:val="center"/>
        </w:trPr>
        <w:tc>
          <w:tcPr>
            <w:vAlign w:val="center"/>
          </w:tcPr>
          <w:p w14:paraId="13745DD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org.dzu.common</w:t>
            </w:r>
          </w:p>
        </w:tc>
        <w:tc>
          <w:tcPr>
            <w:vAlign w:val="center"/>
          </w:tcPr>
          <w:p w14:paraId="7CC80E5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公共组件</w:t>
            </w:r>
          </w:p>
        </w:tc>
        <w:tc>
          <w:tcPr>
            <w:vAlign w:val="center"/>
          </w:tcPr>
          <w:p w14:paraId="53D904A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常量、枚举、工具类、自定义注解</w:t>
            </w:r>
          </w:p>
        </w:tc>
      </w:tr>
      <w:tr w14:paraId="71E7850B">
        <w:trPr>
          <w:jc w:val="center"/>
        </w:trPr>
        <w:tc>
          <w:tcPr>
            <w:vAlign w:val="center"/>
          </w:tcPr>
          <w:p w14:paraId="7971DB6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org.dzu.quartz</w:t>
            </w:r>
          </w:p>
        </w:tc>
        <w:tc>
          <w:tcPr>
            <w:vAlign w:val="center"/>
          </w:tcPr>
          <w:p w14:paraId="7897135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调度任务</w:t>
            </w:r>
          </w:p>
        </w:tc>
        <w:tc>
          <w:tcPr>
            <w:vAlign w:val="center"/>
          </w:tcPr>
          <w:p w14:paraId="3CA17BC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定时任务配置、任务执行与日志</w:t>
            </w:r>
          </w:p>
        </w:tc>
      </w:tr>
      <w:tr w14:paraId="067C2D89">
        <w:trPr>
          <w:jc w:val="center"/>
        </w:trPr>
        <w:tc>
          <w:tcPr>
            <w:vAlign w:val="center"/>
          </w:tcPr>
          <w:p w14:paraId="2354D96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packages/order-system</w:t>
            </w:r>
          </w:p>
        </w:tc>
        <w:tc>
          <w:tcPr>
            <w:vAlign w:val="center"/>
          </w:tcPr>
          <w:p w14:paraId="3C82715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前端主业务包</w:t>
            </w:r>
          </w:p>
        </w:tc>
        <w:tc>
          <w:tcPr>
            <w:vAlign w:val="center"/>
          </w:tcPr>
          <w:p w14:paraId="1A22869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页面、路由、状态管理、请求封装</w:t>
            </w:r>
          </w:p>
        </w:tc>
      </w:tr>
      <w:bookmarkEnd w:id="70"/>
    </w:tbl>
    <w:p w14:paraId="7F174BE9">
      <w:pPr>
        <w:pStyle w:val="3"/>
      </w:pPr>
      <w:bookmarkStart w:id="71" w:name="_Toc2061600642"/>
      <w:bookmarkStart w:id="72" w:name="_Toc972770737"/>
      <w:bookmarkStart w:id="73" w:name="_Toc010016"/>
      <w:bookmarkStart w:id="74" w:name="系统功能结构设计"/>
      <w:r>
        <w:t>4.3 系统功能结构设计</w:t>
      </w:r>
      <w:bookmarkEnd w:id="71"/>
      <w:bookmarkEnd w:id="72"/>
      <w:bookmarkEnd w:id="73"/>
    </w:p>
    <w:p w14:paraId="0292FCB3">
      <w:pPr>
        <w:spacing w:before="0" w:after="0" w:line="360" w:lineRule="auto"/>
        <w:ind w:firstLine="480"/>
        <w:jc w:val="both"/>
        <w:rPr>
          <w:rFonts w:hint="eastAsia" w:eastAsia="宋体"/>
          <w:lang w:eastAsia="zh-CN"/>
        </w:rPr>
      </w:pPr>
      <w:r>
        <w:t xml:space="preserve">第3章已经给出了系统总体模块划分，本节进一步说明这些模块在设计层面的职责边界. 玻璃供应链系统可以概括为系统管理、基础数据、订单协同、仓储作业、资金结算、运输管理和统计报表七类模块，它们并非并列菜单的简单集合，而是按照“权限入口-主数据-订单来源-运输履约-仓储执行-资金记录-结果统计”的顺序组织业务. </w:t>
      </w:r>
    </w:p>
    <w:p w14:paraId="22431EE7">
      <w:pPr>
        <w:spacing w:before="0" w:after="0" w:line="360" w:lineRule="auto"/>
        <w:ind w:firstLine="480"/>
        <w:jc w:val="both"/>
        <w:rPr>
          <w:rFonts w:hint="eastAsia" w:eastAsia="宋体"/>
          <w:lang w:eastAsia="zh-CN"/>
        </w:rPr>
      </w:pPr>
      <w:r>
        <w:t xml:space="preserve">（1）系统管理模块. 负责用户、角色、菜单和运行状态管理，是整个系统的权限与维护基础. </w:t>
      </w:r>
    </w:p>
    <w:p w14:paraId="332AAA3E">
      <w:pPr>
        <w:spacing w:before="0" w:after="0" w:line="360" w:lineRule="auto"/>
        <w:ind w:firstLine="480"/>
        <w:jc w:val="both"/>
        <w:rPr>
          <w:rFonts w:hint="eastAsia" w:eastAsia="宋体"/>
          <w:lang w:eastAsia="zh-CN"/>
        </w:rPr>
      </w:pPr>
      <w:r>
        <w:t xml:space="preserve">（2）基础数据模块. 负责仓库、客户、供应商、银行卡、科目、产品级别、车辆、车队和公司车辆等主数据维护，为订单、库存、运费、付款和统计模块提供统一的数据来源. </w:t>
      </w:r>
    </w:p>
    <w:p w14:paraId="3C4435CC">
      <w:pPr>
        <w:spacing w:before="0" w:after="0" w:line="360" w:lineRule="auto"/>
        <w:ind w:firstLine="480"/>
        <w:jc w:val="both"/>
        <w:rPr>
          <w:rFonts w:hint="eastAsia" w:eastAsia="宋体"/>
          <w:lang w:eastAsia="zh-CN"/>
        </w:rPr>
      </w:pPr>
      <w:r>
        <w:t xml:space="preserve">（3）订单协同模块. 负责订单录入、订单查询和订单执行跟踪，为仓储作业提供业务来源和追溯依据. </w:t>
      </w:r>
    </w:p>
    <w:p w14:paraId="41F75D4D">
      <w:pPr>
        <w:spacing w:before="0" w:after="0" w:line="360" w:lineRule="auto"/>
        <w:ind w:firstLine="480"/>
        <w:jc w:val="both"/>
        <w:rPr>
          <w:rFonts w:hint="eastAsia" w:eastAsia="宋体"/>
          <w:lang w:eastAsia="zh-CN"/>
        </w:rPr>
      </w:pPr>
      <w:r>
        <w:t xml:space="preserve">（4）仓储作业模块. 负责库存入库、库存明细维护、正常发货出库、加工后出库、破损出库和库存审核等核心仓储业务. </w:t>
      </w:r>
    </w:p>
    <w:p w14:paraId="2A8604CF">
      <w:pPr>
        <w:spacing w:before="0" w:after="0" w:line="360" w:lineRule="auto"/>
        <w:ind w:firstLine="480"/>
        <w:jc w:val="both"/>
        <w:rPr>
          <w:rFonts w:hint="eastAsia" w:eastAsia="宋体"/>
          <w:lang w:eastAsia="zh-CN"/>
        </w:rPr>
      </w:pPr>
      <w:r>
        <w:t xml:space="preserve">（5）统计报表模块. 负责入出库记录查询、仓库变动明细、库存余额统计、批量导出和异步反馈，是经营分析和日常核对的重要支撑. </w:t>
      </w:r>
    </w:p>
    <w:bookmarkEnd w:id="74"/>
    <w:p w14:paraId="34D855A0">
      <w:pPr>
        <w:pStyle w:val="3"/>
      </w:pPr>
      <w:bookmarkStart w:id="75" w:name="_Toc564772148"/>
      <w:bookmarkStart w:id="76" w:name="_Toc010017"/>
      <w:bookmarkStart w:id="77" w:name="_Toc1820829396"/>
      <w:bookmarkStart w:id="78" w:name="数据库设计"/>
      <w:r>
        <w:t>4.4 数据库设计</w:t>
      </w:r>
      <w:bookmarkEnd w:id="75"/>
      <w:bookmarkEnd w:id="76"/>
      <w:bookmarkEnd w:id="77"/>
    </w:p>
    <w:p w14:paraId="71E2E9DD">
      <w:pPr>
        <w:pStyle w:val="6"/>
      </w:pPr>
      <w:bookmarkStart w:id="79" w:name="数据库概念结构设计"/>
      <w:r>
        <w:t>4.4.1 数据库概念结构设计</w:t>
      </w:r>
    </w:p>
    <w:p w14:paraId="58AB1B02">
      <w:pPr>
        <w:spacing w:before="0" w:after="0" w:line="360" w:lineRule="auto"/>
        <w:ind w:firstLine="480"/>
        <w:jc w:val="both"/>
        <w:rPr>
          <w:rFonts w:hint="eastAsia" w:eastAsia="宋体"/>
          <w:lang w:eastAsia="zh-CN"/>
        </w:rPr>
      </w:pPr>
      <w:r>
        <w:t xml:space="preserve">为了说明总体ER关系之前各对象的业务含义，本节先结合后端实体类梳理核心业务实体，并补充基础信息维护涉及的银行账户、外部车辆、车队、科目和公司车辆等主数据对象. 这些实体共同支撑仓储现场中的位置、往来主体、玻璃规格、运输对象、资金科目、订单来源、入库、库存明细和出库结果，各实体属性结构如图6-1-1至图6-1-8及补充图所示. </w:t>
      </w:r>
    </w:p>
    <w:p w14:paraId="5BB7BAB3">
      <w:pPr>
        <w:spacing w:before="0" w:after="0" w:line="360" w:lineRule="auto"/>
        <w:ind w:firstLine="480"/>
        <w:jc w:val="both"/>
        <w:rPr>
          <w:rFonts w:hint="eastAsia" w:eastAsia="宋体"/>
          <w:lang w:eastAsia="zh-CN"/>
        </w:rPr>
      </w:pPr>
      <w:r>
        <w:t xml:space="preserve">（1）仓库实体（StoreHouse）. 仓库实体对应实际库房或存放区域，主要字段包括仓库名称、地址和逻辑删除标志. 入库主单、出库记录和余额统计都会引用仓库信息，因此该实体用于确定库存归属，而不是普通的文本备注. </w:t>
      </w:r>
    </w:p>
    <w:p w14:paraId="0A3C84F5">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415915" cy="4062095"/>
            <wp:effectExtent l="0" t="0" r="19685" b="1905"/>
            <wp:docPr id="176" name="Picture" descr="图6-1-1 仓库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descr="图6-1-1 仓库实体属性图"/>
                    <pic:cNvPicPr>
                      <a:picLocks noChangeAspect="1" noChangeArrowheads="1"/>
                    </pic:cNvPicPr>
                  </pic:nvPicPr>
                  <pic:blipFill>
                    <a:blip r:embed="rId13"/>
                    <a:stretch>
                      <a:fillRect/>
                    </a:stretch>
                  </pic:blipFill>
                  <pic:spPr>
                    <a:xfrm>
                      <a:off x="0" y="0"/>
                      <a:ext cx="5415915" cy="4062095"/>
                    </a:xfrm>
                    <a:prstGeom prst="rect">
                      <a:avLst/>
                    </a:prstGeom>
                    <a:noFill/>
                    <a:ln w="9525">
                      <a:noFill/>
                    </a:ln>
                  </pic:spPr>
                </pic:pic>
              </a:graphicData>
            </a:graphic>
          </wp:inline>
        </w:drawing>
      </w:r>
    </w:p>
    <w:p w14:paraId="32FC0F05">
      <w:pPr>
        <w:bidi w:val="0"/>
        <w:jc w:val="center"/>
        <w:rPr>
          <w:rFonts w:ascii="宋体" w:hAnsi="宋体" w:eastAsia="宋体" w:cs="宋体"/>
          <w:color w:val="auto"/>
          <w:sz w:val="18"/>
        </w:rPr>
      </w:pPr>
      <w:r>
        <w:rPr>
          <w:rFonts w:ascii="宋体" w:hAnsi="宋体" w:eastAsia="宋体" w:cs="宋体"/>
          <w:color w:val="auto"/>
          <w:sz w:val="18"/>
        </w:rPr>
        <w:t>图6-1-1 仓库实体属性图</w:t>
      </w:r>
    </w:p>
    <w:p w14:paraId="2D735864">
      <w:pPr>
        <w:spacing w:before="0" w:after="0" w:line="360" w:lineRule="auto"/>
        <w:ind w:firstLine="480"/>
        <w:jc w:val="both"/>
        <w:rPr>
          <w:rFonts w:hint="eastAsia" w:eastAsia="宋体"/>
          <w:lang w:eastAsia="zh-CN"/>
        </w:rPr>
      </w:pPr>
      <w:r>
        <w:t xml:space="preserve">仓库信息维护时应尽量保持名称和地址稳定. 若某个仓库已经出现在历史入库、出库或统计记录中，直接物理删除会破坏追溯关系，更适合通过停用或逻辑删除方式处理. </w:t>
      </w:r>
    </w:p>
    <w:p w14:paraId="01EF5A48">
      <w:pPr>
        <w:spacing w:before="0" w:after="0" w:line="360" w:lineRule="auto"/>
        <w:ind w:firstLine="480"/>
        <w:jc w:val="both"/>
        <w:rPr>
          <w:rFonts w:hint="eastAsia" w:eastAsia="宋体"/>
          <w:lang w:eastAsia="zh-CN"/>
        </w:rPr>
      </w:pPr>
      <w:r>
        <w:t xml:space="preserve">（2）往来主体实体（Company）. 系统将客户和供应商放在统一业务模型下维护，并在实际存储和查询中依据主体类型区分业务身份. 该实体保存名称、联系人、电话、地址、区域、开户行、户名和账号等资料，在订单录入、入库来源选择、收付款处理、库存追溯和统计查询中都会被引用. </w:t>
      </w:r>
    </w:p>
    <w:p w14:paraId="14EA4462">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307330" cy="3980180"/>
            <wp:effectExtent l="0" t="0" r="1270" b="7620"/>
            <wp:docPr id="177" name="Picture" descr="图6-1-2 往来主体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descr="图6-1-2 往来主体实体属性图"/>
                    <pic:cNvPicPr>
                      <a:picLocks noChangeAspect="1" noChangeArrowheads="1"/>
                    </pic:cNvPicPr>
                  </pic:nvPicPr>
                  <pic:blipFill>
                    <a:blip r:embed="rId14"/>
                    <a:stretch>
                      <a:fillRect/>
                    </a:stretch>
                  </pic:blipFill>
                  <pic:spPr>
                    <a:xfrm>
                      <a:off x="0" y="0"/>
                      <a:ext cx="5307330" cy="3980180"/>
                    </a:xfrm>
                    <a:prstGeom prst="rect">
                      <a:avLst/>
                    </a:prstGeom>
                    <a:noFill/>
                    <a:ln w="9525">
                      <a:noFill/>
                    </a:ln>
                  </pic:spPr>
                </pic:pic>
              </a:graphicData>
            </a:graphic>
          </wp:inline>
        </w:drawing>
      </w:r>
    </w:p>
    <w:p w14:paraId="2B916F07">
      <w:pPr>
        <w:bidi w:val="0"/>
        <w:jc w:val="center"/>
        <w:rPr>
          <w:rFonts w:ascii="宋体" w:hAnsi="宋体" w:eastAsia="宋体" w:cs="宋体"/>
          <w:color w:val="auto"/>
          <w:sz w:val="18"/>
        </w:rPr>
      </w:pPr>
      <w:r>
        <w:rPr>
          <w:rFonts w:ascii="宋体" w:hAnsi="宋体" w:eastAsia="宋体" w:cs="宋体"/>
          <w:color w:val="auto"/>
          <w:sz w:val="18"/>
        </w:rPr>
        <w:t>图6-1-2 往来主体实体属性图</w:t>
      </w:r>
    </w:p>
    <w:p w14:paraId="6E336184">
      <w:pPr>
        <w:spacing w:before="0" w:after="0" w:line="360" w:lineRule="auto"/>
        <w:ind w:firstLine="480"/>
        <w:jc w:val="both"/>
        <w:rPr>
          <w:rFonts w:hint="eastAsia" w:eastAsia="宋体"/>
          <w:lang w:eastAsia="zh-CN"/>
        </w:rPr>
      </w:pPr>
      <w:r>
        <w:t xml:space="preserve">维护往来主体时，重点在于避免同一企业以客户和供应商身份被重复或错误建档. 对于已经被订单、库存、运费或资金记录引用的主体，变更名称、联系方式、银行账户等字段时也应注意历史数据展示口径. </w:t>
      </w:r>
    </w:p>
    <w:p w14:paraId="665CCC83">
      <w:pPr>
        <w:spacing w:before="0" w:after="0" w:line="360" w:lineRule="auto"/>
        <w:ind w:firstLine="480"/>
        <w:jc w:val="both"/>
        <w:rPr>
          <w:rFonts w:hint="eastAsia" w:eastAsia="宋体"/>
          <w:lang w:eastAsia="zh-CN"/>
        </w:rPr>
      </w:pPr>
      <w:r>
        <w:t xml:space="preserve">（3）产品级别实体（ProductLevel）. 产品级别实体用于表达玻璃产品的规格组合，包括级别编码、级别名称、分类名称、厚度、长度、宽度和吨位等字段. 库存明细能否准确区分不同玻璃，主要取决于该实体是否定义清楚. </w:t>
      </w:r>
    </w:p>
    <w:p w14:paraId="1A5B131B">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234940" cy="3926205"/>
            <wp:effectExtent l="0" t="0" r="22860" b="10795"/>
            <wp:docPr id="178" name="Picture" descr="图6-1-3 产品级别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descr="图6-1-3 产品级别实体属性图"/>
                    <pic:cNvPicPr>
                      <a:picLocks noChangeAspect="1" noChangeArrowheads="1"/>
                    </pic:cNvPicPr>
                  </pic:nvPicPr>
                  <pic:blipFill>
                    <a:blip r:embed="rId15"/>
                    <a:stretch>
                      <a:fillRect/>
                    </a:stretch>
                  </pic:blipFill>
                  <pic:spPr>
                    <a:xfrm>
                      <a:off x="0" y="0"/>
                      <a:ext cx="5234940" cy="3926205"/>
                    </a:xfrm>
                    <a:prstGeom prst="rect">
                      <a:avLst/>
                    </a:prstGeom>
                    <a:noFill/>
                    <a:ln w="9525">
                      <a:noFill/>
                    </a:ln>
                  </pic:spPr>
                </pic:pic>
              </a:graphicData>
            </a:graphic>
          </wp:inline>
        </w:drawing>
      </w:r>
    </w:p>
    <w:p w14:paraId="0EE7893B">
      <w:pPr>
        <w:bidi w:val="0"/>
        <w:jc w:val="center"/>
        <w:rPr>
          <w:rFonts w:ascii="宋体" w:hAnsi="宋体" w:eastAsia="宋体" w:cs="宋体"/>
          <w:color w:val="auto"/>
          <w:sz w:val="18"/>
        </w:rPr>
      </w:pPr>
      <w:r>
        <w:rPr>
          <w:rFonts w:ascii="宋体" w:hAnsi="宋体" w:eastAsia="宋体" w:cs="宋体"/>
          <w:color w:val="auto"/>
          <w:sz w:val="18"/>
        </w:rPr>
        <w:t>图6-1-3 产品级别实体属性图</w:t>
      </w:r>
    </w:p>
    <w:p w14:paraId="2434F09F">
      <w:pPr>
        <w:spacing w:before="0" w:after="0" w:line="360" w:lineRule="auto"/>
        <w:ind w:firstLine="480"/>
        <w:jc w:val="both"/>
        <w:rPr>
          <w:rFonts w:hint="eastAsia" w:eastAsia="宋体"/>
          <w:lang w:eastAsia="zh-CN"/>
        </w:rPr>
      </w:pPr>
      <w:r>
        <w:t xml:space="preserve">在业务使用中，产品级别编码与规格参数应保持稳定对应关系. 若同一规格被多次定义，后续订单明细、库存明细和统计结果就可能出现口径不一致，因此规格调整需要谨慎处理. </w:t>
      </w:r>
    </w:p>
    <w:p w14:paraId="403DC7F8">
      <w:pPr>
        <w:spacing w:before="0" w:after="0" w:line="360" w:lineRule="auto"/>
        <w:ind w:firstLine="480"/>
        <w:jc w:val="both"/>
        <w:rPr>
          <w:rFonts w:ascii="Times New Roman" w:hAnsi="Times New Roman"/>
        </w:rPr>
      </w:pPr>
      <w:r>
        <w:rPr>
          <w:rFonts w:ascii="Times New Roman" w:hAnsi="Times New Roman"/>
        </w:rPr>
        <w:t>银行账户实体（BankAccount）用于维护客户、供应商、司机和己方公司的账户资料，保存账户类型、开户名、银行账号、开户行、显示名称、排序和公私户标识等信息。该实体会被收付款、银行账户变动、订单和统计查询引用，是资金流向能够被准确追踪的基础。</w:t>
      </w:r>
    </w:p>
    <w:p w14:paraId="24E2065F">
      <w:pPr>
        <w:jc w:val="center"/>
      </w:pPr>
      <w:r>
        <w:drawing>
          <wp:inline distT="0" distB="0" distL="114300" distR="114300">
            <wp:extent cx="5255895" cy="2868295"/>
            <wp:effectExtent l="0" t="0" r="1905" b="190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6"/>
                    <a:stretch>
                      <a:fillRect/>
                    </a:stretch>
                  </pic:blipFill>
                  <pic:spPr>
                    <a:xfrm>
                      <a:off x="0" y="0"/>
                      <a:ext cx="5256000" cy="2868295"/>
                    </a:xfrm>
                    <a:prstGeom prst="rect">
                      <a:avLst/>
                    </a:prstGeom>
                  </pic:spPr>
                </pic:pic>
              </a:graphicData>
            </a:graphic>
          </wp:inline>
        </w:drawing>
      </w:r>
    </w:p>
    <w:p w14:paraId="414F86A5">
      <w:pPr>
        <w:bidi w:val="0"/>
        <w:jc w:val="center"/>
        <w:rPr>
          <w:rFonts w:ascii="宋体" w:hAnsi="宋体" w:eastAsia="宋体" w:cs="宋体"/>
          <w:color w:val="auto"/>
          <w:sz w:val="18"/>
        </w:rPr>
      </w:pPr>
      <w:r>
        <w:rPr>
          <w:rFonts w:ascii="宋体" w:hAnsi="宋体" w:eastAsia="宋体" w:cs="宋体"/>
          <w:color w:val="auto"/>
          <w:sz w:val="18"/>
        </w:rPr>
        <w:t>图6-1-3-1 银行账户实体属性图</w:t>
      </w:r>
    </w:p>
    <w:p w14:paraId="0F2FD2D2">
      <w:pPr>
        <w:spacing w:before="0" w:after="0" w:line="360" w:lineRule="auto"/>
        <w:ind w:firstLine="480"/>
        <w:jc w:val="both"/>
        <w:rPr>
          <w:rFonts w:ascii="Times New Roman" w:hAnsi="Times New Roman"/>
        </w:rPr>
      </w:pPr>
      <w:r>
        <w:rPr>
          <w:rFonts w:ascii="Times New Roman" w:hAnsi="Times New Roman"/>
        </w:rPr>
        <w:t>维护银行账户时，系统通过 companyId、bankNo、acountsType 和 delFlag 的组合控制同一主体同一账户类型下的重复账号问题；对于己方公司账户，还可以通过 IsPublicAccount 区分公户和私户。</w:t>
      </w:r>
    </w:p>
    <w:p w14:paraId="43DCEEBB">
      <w:pPr>
        <w:spacing w:before="0" w:after="0" w:line="360" w:lineRule="auto"/>
        <w:ind w:firstLine="480"/>
        <w:jc w:val="both"/>
        <w:rPr>
          <w:rFonts w:ascii="Times New Roman" w:hAnsi="Times New Roman"/>
        </w:rPr>
      </w:pPr>
      <w:r>
        <w:rPr>
          <w:rFonts w:ascii="Times New Roman" w:hAnsi="Times New Roman"/>
        </w:rPr>
        <w:t>外部车辆实体（Cars）用于维护陆运车辆或海运柜号资料，字段包括车牌或柜号、司机或海运公司、联系电话、开户行、开户名、账号和运输类型。订单录入、入库登记和运费登记都会引用该实体，以保持运输对象和司机信息一致。</w:t>
      </w:r>
    </w:p>
    <w:p w14:paraId="09EBE635">
      <w:pPr>
        <w:jc w:val="center"/>
      </w:pPr>
      <w:r>
        <w:drawing>
          <wp:inline distT="0" distB="0" distL="114300" distR="114300">
            <wp:extent cx="5255895" cy="3049905"/>
            <wp:effectExtent l="0" t="0" r="1905" b="2349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7"/>
                    <a:stretch>
                      <a:fillRect/>
                    </a:stretch>
                  </pic:blipFill>
                  <pic:spPr>
                    <a:xfrm>
                      <a:off x="0" y="0"/>
                      <a:ext cx="5256000" cy="3049905"/>
                    </a:xfrm>
                    <a:prstGeom prst="rect">
                      <a:avLst/>
                    </a:prstGeom>
                  </pic:spPr>
                </pic:pic>
              </a:graphicData>
            </a:graphic>
          </wp:inline>
        </w:drawing>
      </w:r>
    </w:p>
    <w:p w14:paraId="36B0D791">
      <w:pPr>
        <w:bidi w:val="0"/>
        <w:jc w:val="center"/>
        <w:rPr>
          <w:rFonts w:ascii="宋体" w:hAnsi="宋体" w:eastAsia="宋体" w:cs="宋体"/>
          <w:color w:val="auto"/>
          <w:sz w:val="18"/>
        </w:rPr>
      </w:pPr>
      <w:r>
        <w:rPr>
          <w:rFonts w:ascii="宋体" w:hAnsi="宋体" w:eastAsia="宋体" w:cs="宋体"/>
          <w:color w:val="auto"/>
          <w:sz w:val="18"/>
        </w:rPr>
        <w:t>图6-1-3-2 外部车辆实体属性图</w:t>
      </w:r>
    </w:p>
    <w:p w14:paraId="1332ECAF">
      <w:pPr>
        <w:spacing w:before="0" w:after="0" w:line="360" w:lineRule="auto"/>
        <w:ind w:firstLine="480"/>
        <w:jc w:val="both"/>
        <w:rPr>
          <w:rFonts w:ascii="Times New Roman" w:hAnsi="Times New Roman"/>
        </w:rPr>
      </w:pPr>
      <w:r>
        <w:rPr>
          <w:rFonts w:ascii="Times New Roman" w:hAnsi="Times New Roman"/>
        </w:rPr>
        <w:t>车辆或柜号在当前有效记录中需要保持唯一，系统通过 carNo 与 delFlag 的唯一约束避免同一运输对象被重复维护。运输类型用于区分陆运和海运，便于页面展示和后续统计筛选。</w:t>
      </w:r>
    </w:p>
    <w:p w14:paraId="32F4A069">
      <w:pPr>
        <w:spacing w:before="0" w:after="0" w:line="360" w:lineRule="auto"/>
        <w:ind w:firstLine="480"/>
        <w:jc w:val="both"/>
        <w:rPr>
          <w:rFonts w:ascii="Times New Roman" w:hAnsi="Times New Roman"/>
        </w:rPr>
      </w:pPr>
      <w:r>
        <w:rPr>
          <w:rFonts w:ascii="Times New Roman" w:hAnsi="Times New Roman"/>
        </w:rPr>
        <w:t>车队实体（Fleet）用于维护承运车队的基础资料，保存车队名称、车队经理、联系电话、地址、添加时间、编辑时间和删除标记等字段。订单运输、运费核算和承运信息查询都可以通过车队资料统一展示运输组织信息。</w:t>
      </w:r>
    </w:p>
    <w:p w14:paraId="24E9BAD6">
      <w:pPr>
        <w:jc w:val="center"/>
      </w:pPr>
      <w:r>
        <w:drawing>
          <wp:inline distT="0" distB="0" distL="114300" distR="114300">
            <wp:extent cx="5255895" cy="3122930"/>
            <wp:effectExtent l="0" t="0" r="1905" b="127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8"/>
                    <a:stretch>
                      <a:fillRect/>
                    </a:stretch>
                  </pic:blipFill>
                  <pic:spPr>
                    <a:xfrm>
                      <a:off x="0" y="0"/>
                      <a:ext cx="5256000" cy="3122930"/>
                    </a:xfrm>
                    <a:prstGeom prst="rect">
                      <a:avLst/>
                    </a:prstGeom>
                  </pic:spPr>
                </pic:pic>
              </a:graphicData>
            </a:graphic>
          </wp:inline>
        </w:drawing>
      </w:r>
    </w:p>
    <w:p w14:paraId="7A5C34AC">
      <w:pPr>
        <w:bidi w:val="0"/>
        <w:jc w:val="center"/>
        <w:rPr>
          <w:rFonts w:ascii="宋体" w:hAnsi="宋体" w:eastAsia="宋体" w:cs="宋体"/>
          <w:color w:val="auto"/>
          <w:sz w:val="18"/>
        </w:rPr>
      </w:pPr>
      <w:r>
        <w:rPr>
          <w:rFonts w:ascii="宋体" w:hAnsi="宋体" w:eastAsia="宋体" w:cs="宋体"/>
          <w:color w:val="auto"/>
          <w:sz w:val="18"/>
        </w:rPr>
        <w:t>图6-1-3-3 车队实体属性图</w:t>
      </w:r>
    </w:p>
    <w:p w14:paraId="497EC3BF">
      <w:pPr>
        <w:spacing w:before="0" w:after="0" w:line="360" w:lineRule="auto"/>
        <w:ind w:firstLine="480"/>
        <w:jc w:val="both"/>
        <w:rPr>
          <w:rFonts w:ascii="Times New Roman" w:hAnsi="Times New Roman"/>
        </w:rPr>
      </w:pPr>
      <w:r>
        <w:rPr>
          <w:rFonts w:ascii="Times New Roman" w:hAnsi="Times New Roman"/>
        </w:rPr>
        <w:t>车队资料偏向运输组织维度，</w:t>
      </w:r>
      <w:r>
        <w:rPr>
          <w:rFonts w:hint="eastAsia"/>
          <w:lang w:val="en-US" w:eastAsia="zh-CN"/>
        </w:rPr>
        <w:t>而</w:t>
      </w:r>
      <w:r>
        <w:rPr>
          <w:rFonts w:ascii="Times New Roman" w:hAnsi="Times New Roman"/>
        </w:rPr>
        <w:t>车辆资料偏向具体车牌或柜号维度。二者分开维护后，系统既能追踪具体运输对象，也能按车队进行运费</w:t>
      </w:r>
      <w:r>
        <w:rPr>
          <w:rFonts w:hint="eastAsia"/>
          <w:lang w:val="en-US" w:eastAsia="zh-CN"/>
        </w:rPr>
        <w:t>等信息的</w:t>
      </w:r>
      <w:r>
        <w:rPr>
          <w:rFonts w:ascii="Times New Roman" w:hAnsi="Times New Roman"/>
        </w:rPr>
        <w:t>归集。</w:t>
      </w:r>
    </w:p>
    <w:p w14:paraId="38F8C23D">
      <w:pPr>
        <w:spacing w:before="0" w:after="0" w:line="360" w:lineRule="auto"/>
        <w:ind w:firstLine="480"/>
        <w:jc w:val="both"/>
        <w:rPr>
          <w:rFonts w:ascii="Times New Roman" w:hAnsi="Times New Roman"/>
        </w:rPr>
      </w:pPr>
      <w:r>
        <w:rPr>
          <w:rFonts w:ascii="Times New Roman" w:hAnsi="Times New Roman"/>
        </w:rPr>
        <w:t>科目实体（Subject）用于维护收入、支出和其他类型的业务科目，字段包括科目名称、科目类别、科目编号、父级科目、显示顺序、状态、创建和更新时间等。</w:t>
      </w:r>
    </w:p>
    <w:p w14:paraId="23D8A5D7">
      <w:pPr>
        <w:jc w:val="center"/>
      </w:pPr>
      <w:r>
        <w:drawing>
          <wp:inline distT="0" distB="0" distL="114300" distR="114300">
            <wp:extent cx="5255895" cy="3122930"/>
            <wp:effectExtent l="0" t="0" r="1905" b="127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9"/>
                    <a:stretch>
                      <a:fillRect/>
                    </a:stretch>
                  </pic:blipFill>
                  <pic:spPr>
                    <a:xfrm>
                      <a:off x="0" y="0"/>
                      <a:ext cx="5256000" cy="3122930"/>
                    </a:xfrm>
                    <a:prstGeom prst="rect">
                      <a:avLst/>
                    </a:prstGeom>
                  </pic:spPr>
                </pic:pic>
              </a:graphicData>
            </a:graphic>
          </wp:inline>
        </w:drawing>
      </w:r>
    </w:p>
    <w:p w14:paraId="01248454">
      <w:pPr>
        <w:bidi w:val="0"/>
        <w:jc w:val="center"/>
        <w:rPr>
          <w:rFonts w:ascii="宋体" w:hAnsi="宋体" w:eastAsia="宋体" w:cs="宋体"/>
          <w:color w:val="auto"/>
          <w:sz w:val="18"/>
        </w:rPr>
      </w:pPr>
      <w:r>
        <w:rPr>
          <w:rFonts w:ascii="宋体" w:hAnsi="宋体" w:eastAsia="宋体" w:cs="宋体"/>
          <w:color w:val="auto"/>
          <w:sz w:val="18"/>
        </w:rPr>
        <w:t>图6-1-3-4 科目实体属性图</w:t>
      </w:r>
    </w:p>
    <w:p w14:paraId="59B7AC12">
      <w:pPr>
        <w:spacing w:before="0" w:after="0" w:line="360" w:lineRule="auto"/>
        <w:ind w:firstLine="480"/>
        <w:jc w:val="both"/>
        <w:rPr>
          <w:rFonts w:ascii="Times New Roman" w:hAnsi="Times New Roman"/>
        </w:rPr>
      </w:pPr>
      <w:r>
        <w:rPr>
          <w:rFonts w:ascii="Times New Roman" w:hAnsi="Times New Roman"/>
        </w:rPr>
        <w:t>科目支持父子结构，parent_id 与 order_num 用于组织树形展示；subjectNo 和 title 分别设置唯一约束，避免同一科目在资金或费用处理中出现多个口径。</w:t>
      </w:r>
    </w:p>
    <w:p w14:paraId="75FFE3D7">
      <w:pPr>
        <w:spacing w:before="0" w:after="0" w:line="360" w:lineRule="auto"/>
        <w:ind w:firstLine="480"/>
        <w:jc w:val="both"/>
        <w:rPr>
          <w:rFonts w:ascii="Times New Roman" w:hAnsi="Times New Roman"/>
        </w:rPr>
      </w:pPr>
      <w:r>
        <w:rPr>
          <w:rFonts w:ascii="Times New Roman" w:hAnsi="Times New Roman"/>
        </w:rPr>
        <w:t>公司车辆实体（Vehicles）用于维护企业自有车辆资料，字段包括车辆型号、车牌号、购买时间、行驶里程、保养金额、保养日期、保险金额、备注和扩展信息。该实体与外部车辆不同，更关注企业内部车辆资产和维护状态。</w:t>
      </w:r>
    </w:p>
    <w:p w14:paraId="0F3C0ACB">
      <w:pPr>
        <w:jc w:val="center"/>
      </w:pPr>
      <w:r>
        <w:drawing>
          <wp:inline distT="0" distB="0" distL="114300" distR="114300">
            <wp:extent cx="5255895" cy="3004185"/>
            <wp:effectExtent l="0" t="0" r="1905" b="184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20"/>
                    <a:stretch>
                      <a:fillRect/>
                    </a:stretch>
                  </pic:blipFill>
                  <pic:spPr>
                    <a:xfrm>
                      <a:off x="0" y="0"/>
                      <a:ext cx="5256000" cy="3004185"/>
                    </a:xfrm>
                    <a:prstGeom prst="rect">
                      <a:avLst/>
                    </a:prstGeom>
                  </pic:spPr>
                </pic:pic>
              </a:graphicData>
            </a:graphic>
          </wp:inline>
        </w:drawing>
      </w:r>
    </w:p>
    <w:p w14:paraId="6FFF25CF">
      <w:pPr>
        <w:bidi w:val="0"/>
        <w:jc w:val="center"/>
        <w:rPr>
          <w:rFonts w:ascii="宋体" w:hAnsi="宋体" w:eastAsia="宋体" w:cs="宋体"/>
          <w:color w:val="auto"/>
          <w:sz w:val="18"/>
        </w:rPr>
      </w:pPr>
      <w:r>
        <w:rPr>
          <w:rFonts w:ascii="宋体" w:hAnsi="宋体" w:eastAsia="宋体" w:cs="宋体"/>
          <w:color w:val="auto"/>
          <w:sz w:val="18"/>
        </w:rPr>
        <w:t>图6-1-3-5 公司车辆实体属性图</w:t>
      </w:r>
    </w:p>
    <w:p w14:paraId="56A76DDA">
      <w:pPr>
        <w:spacing w:before="0" w:after="0" w:line="360" w:lineRule="auto"/>
        <w:ind w:firstLine="480"/>
        <w:jc w:val="both"/>
        <w:rPr>
          <w:rFonts w:ascii="Times New Roman" w:hAnsi="Times New Roman"/>
        </w:rPr>
      </w:pPr>
      <w:r>
        <w:rPr>
          <w:rFonts w:ascii="Times New Roman" w:hAnsi="Times New Roman"/>
        </w:rPr>
        <w:t>公司车辆通过 license_plate 唯一约束保证同一车牌只维护一条主记录，extra_info 字段以 JSON 形式保留扩展空间，便于后续增加年检、保险或维修相关信息。</w:t>
      </w:r>
    </w:p>
    <w:p w14:paraId="10B4D218">
      <w:pPr>
        <w:spacing w:before="0" w:after="0" w:line="360" w:lineRule="auto"/>
        <w:ind w:firstLine="480"/>
        <w:jc w:val="both"/>
        <w:rPr>
          <w:rFonts w:hint="eastAsia" w:eastAsia="宋体"/>
          <w:lang w:eastAsia="zh-CN"/>
        </w:rPr>
      </w:pPr>
      <w:r>
        <w:t xml:space="preserve">（4）订单主实体（GoodsOrder）. 订单主实体记录订单层面的整体信息，如订单编号、订单日期、客户标识、陆运车辆、海运柜号、司机电话、银行账号、审核状态和开票状态. 它体现业务来源、运输安排和订单状态，是订单明细、出库执行、运费登记和后续回查的主干记录. </w:t>
      </w:r>
    </w:p>
    <w:p w14:paraId="77BD8634">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380355" cy="4034790"/>
            <wp:effectExtent l="0" t="0" r="4445" b="3810"/>
            <wp:docPr id="179" name="Picture" descr="图6-1-4 订单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descr="图6-1-4 订单主实体属性图"/>
                    <pic:cNvPicPr>
                      <a:picLocks noChangeAspect="1" noChangeArrowheads="1"/>
                    </pic:cNvPicPr>
                  </pic:nvPicPr>
                  <pic:blipFill>
                    <a:blip r:embed="rId21"/>
                    <a:stretch>
                      <a:fillRect/>
                    </a:stretch>
                  </pic:blipFill>
                  <pic:spPr>
                    <a:xfrm>
                      <a:off x="0" y="0"/>
                      <a:ext cx="5380355" cy="4034790"/>
                    </a:xfrm>
                    <a:prstGeom prst="rect">
                      <a:avLst/>
                    </a:prstGeom>
                    <a:noFill/>
                    <a:ln w="9525">
                      <a:noFill/>
                    </a:ln>
                  </pic:spPr>
                </pic:pic>
              </a:graphicData>
            </a:graphic>
          </wp:inline>
        </w:drawing>
      </w:r>
    </w:p>
    <w:p w14:paraId="243B8142">
      <w:pPr>
        <w:bidi w:val="0"/>
        <w:jc w:val="center"/>
        <w:rPr>
          <w:rFonts w:ascii="宋体" w:hAnsi="宋体" w:eastAsia="宋体" w:cs="宋体"/>
          <w:color w:val="auto"/>
          <w:sz w:val="18"/>
        </w:rPr>
      </w:pPr>
      <w:r>
        <w:rPr>
          <w:rFonts w:ascii="宋体" w:hAnsi="宋体" w:eastAsia="宋体" w:cs="宋体"/>
          <w:color w:val="auto"/>
          <w:sz w:val="18"/>
        </w:rPr>
        <w:t>图6-1-4 订单主实体属性图</w:t>
      </w:r>
    </w:p>
    <w:p w14:paraId="2BF63B1F">
      <w:pPr>
        <w:spacing w:before="0" w:after="0" w:line="360" w:lineRule="auto"/>
        <w:ind w:firstLine="480"/>
        <w:jc w:val="both"/>
        <w:rPr>
          <w:rFonts w:hint="eastAsia" w:eastAsia="宋体"/>
          <w:lang w:eastAsia="zh-CN"/>
        </w:rPr>
      </w:pPr>
      <w:r>
        <w:t xml:space="preserve">订单编号需要保持唯一并长期稳定. 订单进入执行阶段后，审核状态、开票状态、客户信息、车辆信息和银行账户信息不宜随意改动，否则会影响订单明细、库存来源、出库记录和运费记录之间的追踪. </w:t>
      </w:r>
    </w:p>
    <w:p w14:paraId="4B7B109A">
      <w:pPr>
        <w:spacing w:before="0" w:after="0" w:line="360" w:lineRule="auto"/>
        <w:ind w:firstLine="480"/>
        <w:jc w:val="both"/>
        <w:rPr>
          <w:rFonts w:hint="eastAsia" w:eastAsia="宋体"/>
          <w:lang w:eastAsia="zh-CN"/>
        </w:rPr>
      </w:pPr>
      <w:r>
        <w:t xml:space="preserve">（5）订单明细实体（OrderDetail）. 订单明细用于拆分订单中的具体货物项目，保存订单编号、供应商、客户、车辆或柜号、产品级别、数量和单价等内容. 它把订单主单中的业务要求落实到可执行的规格、来源、承运和数量层面. </w:t>
      </w:r>
    </w:p>
    <w:p w14:paraId="2508B1FB">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778500" cy="4333875"/>
            <wp:effectExtent l="0" t="0" r="12700" b="9525"/>
            <wp:docPr id="180" name="Picture" descr="图6-1-5 订单明细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descr="图6-1-5 订单明细实体属性图"/>
                    <pic:cNvPicPr>
                      <a:picLocks noChangeAspect="1" noChangeArrowheads="1"/>
                    </pic:cNvPicPr>
                  </pic:nvPicPr>
                  <pic:blipFill>
                    <a:blip r:embed="rId22"/>
                    <a:stretch>
                      <a:fillRect/>
                    </a:stretch>
                  </pic:blipFill>
                  <pic:spPr>
                    <a:xfrm>
                      <a:off x="0" y="0"/>
                      <a:ext cx="5778500" cy="4333875"/>
                    </a:xfrm>
                    <a:prstGeom prst="rect">
                      <a:avLst/>
                    </a:prstGeom>
                    <a:noFill/>
                    <a:ln w="9525">
                      <a:noFill/>
                    </a:ln>
                  </pic:spPr>
                </pic:pic>
              </a:graphicData>
            </a:graphic>
          </wp:inline>
        </w:drawing>
      </w:r>
    </w:p>
    <w:p w14:paraId="20F9F689">
      <w:pPr>
        <w:bidi w:val="0"/>
        <w:jc w:val="center"/>
        <w:rPr>
          <w:rFonts w:ascii="宋体" w:hAnsi="宋体" w:eastAsia="宋体" w:cs="宋体"/>
          <w:color w:val="auto"/>
          <w:sz w:val="18"/>
        </w:rPr>
      </w:pPr>
      <w:r>
        <w:rPr>
          <w:rFonts w:ascii="宋体" w:hAnsi="宋体" w:eastAsia="宋体" w:cs="宋体"/>
          <w:color w:val="auto"/>
          <w:sz w:val="18"/>
        </w:rPr>
        <w:t>图6-1-5 订单明细实体属性图</w:t>
      </w:r>
    </w:p>
    <w:p w14:paraId="487F937B">
      <w:pPr>
        <w:spacing w:before="0" w:after="0" w:line="360" w:lineRule="auto"/>
        <w:ind w:firstLine="480"/>
        <w:jc w:val="both"/>
        <w:rPr>
          <w:rFonts w:hint="eastAsia" w:eastAsia="宋体"/>
          <w:lang w:eastAsia="zh-CN"/>
        </w:rPr>
      </w:pPr>
      <w:r>
        <w:t xml:space="preserve">订单明细必须依附于订单主实体，并与后续库存占用或出库执行保持一致. 若明细已经被下游业务引用，修改数量、价格或规格时需要同步检查主单状态和相关库存记录. </w:t>
      </w:r>
    </w:p>
    <w:p w14:paraId="53C544AD">
      <w:pPr>
        <w:spacing w:before="0" w:after="0" w:line="360" w:lineRule="auto"/>
        <w:ind w:firstLine="480"/>
        <w:jc w:val="both"/>
        <w:rPr>
          <w:rFonts w:hint="eastAsia" w:eastAsia="宋体"/>
          <w:lang w:eastAsia="zh-CN"/>
        </w:rPr>
      </w:pPr>
      <w:r>
        <w:t xml:space="preserve">（6）入库主实体（InventoryMain）. 入库主实体描述一次入库作业的整体信息，包含仓库、入库日期、审核人、审核状态和备注等字段. 它负责记录“这次入库发生在何时、进入哪个仓库、处于什么状态”. </w:t>
      </w:r>
    </w:p>
    <w:p w14:paraId="33F11BF9">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960745" cy="4470400"/>
            <wp:effectExtent l="0" t="0" r="8255" b="0"/>
            <wp:docPr id="181" name="Picture" descr="图6-1-6 入库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descr="图6-1-6 入库主实体属性图"/>
                    <pic:cNvPicPr>
                      <a:picLocks noChangeAspect="1" noChangeArrowheads="1"/>
                    </pic:cNvPicPr>
                  </pic:nvPicPr>
                  <pic:blipFill>
                    <a:blip r:embed="rId23"/>
                    <a:stretch>
                      <a:fillRect/>
                    </a:stretch>
                  </pic:blipFill>
                  <pic:spPr>
                    <a:xfrm>
                      <a:off x="0" y="0"/>
                      <a:ext cx="5960745" cy="4470400"/>
                    </a:xfrm>
                    <a:prstGeom prst="rect">
                      <a:avLst/>
                    </a:prstGeom>
                    <a:noFill/>
                    <a:ln w="9525">
                      <a:noFill/>
                    </a:ln>
                  </pic:spPr>
                </pic:pic>
              </a:graphicData>
            </a:graphic>
          </wp:inline>
        </w:drawing>
      </w:r>
    </w:p>
    <w:p w14:paraId="44A01818">
      <w:pPr>
        <w:bidi w:val="0"/>
        <w:jc w:val="center"/>
        <w:rPr>
          <w:rFonts w:ascii="宋体" w:hAnsi="宋体" w:eastAsia="宋体" w:cs="宋体"/>
          <w:color w:val="auto"/>
          <w:sz w:val="18"/>
        </w:rPr>
      </w:pPr>
      <w:r>
        <w:rPr>
          <w:rFonts w:ascii="宋体" w:hAnsi="宋体" w:eastAsia="宋体" w:cs="宋体"/>
          <w:color w:val="auto"/>
          <w:sz w:val="18"/>
        </w:rPr>
        <w:t>图6-1-6 入库主实体属性图</w:t>
      </w:r>
    </w:p>
    <w:p w14:paraId="29168852">
      <w:pPr>
        <w:spacing w:before="0" w:after="0" w:line="360" w:lineRule="auto"/>
        <w:ind w:firstLine="480"/>
        <w:jc w:val="both"/>
        <w:rPr>
          <w:rFonts w:hint="eastAsia" w:eastAsia="宋体"/>
          <w:lang w:eastAsia="zh-CN"/>
        </w:rPr>
      </w:pPr>
      <w:r>
        <w:t xml:space="preserve">实际使用时，入库主单通常先建立，再录入对应库存明细. 仓库、日期和审核信息确认后会影响统计和审核流程，因此这类字段应按流程修改，而不能作为普通备注随意调整. </w:t>
      </w:r>
    </w:p>
    <w:p w14:paraId="78AF3196">
      <w:pPr>
        <w:spacing w:before="0" w:after="0" w:line="360" w:lineRule="auto"/>
        <w:ind w:firstLine="480"/>
        <w:jc w:val="both"/>
        <w:rPr>
          <w:rFonts w:hint="eastAsia" w:eastAsia="宋体"/>
          <w:lang w:eastAsia="zh-CN"/>
        </w:rPr>
      </w:pPr>
      <w:r>
        <w:t xml:space="preserve">（7）库存明细实体（InventoryDetail）. 库存明细记录入库后形成的具体库存项目，字段包括所属主单、供应商、产品级别、片数、包数、库存片数和价格等. 它承载玻璃库存的规格、数量和金额信息，是出库和余额统计的直接依据. </w:t>
      </w:r>
    </w:p>
    <w:p w14:paraId="09004662">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767070" cy="4325620"/>
            <wp:effectExtent l="0" t="0" r="24130" b="17780"/>
            <wp:docPr id="182" name="Picture" descr="图6-1-7 库存明细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descr="图6-1-7 库存明细实体属性图"/>
                    <pic:cNvPicPr>
                      <a:picLocks noChangeAspect="1" noChangeArrowheads="1"/>
                    </pic:cNvPicPr>
                  </pic:nvPicPr>
                  <pic:blipFill>
                    <a:blip r:embed="rId24"/>
                    <a:stretch>
                      <a:fillRect/>
                    </a:stretch>
                  </pic:blipFill>
                  <pic:spPr>
                    <a:xfrm>
                      <a:off x="0" y="0"/>
                      <a:ext cx="5767070" cy="4325620"/>
                    </a:xfrm>
                    <a:prstGeom prst="rect">
                      <a:avLst/>
                    </a:prstGeom>
                    <a:noFill/>
                    <a:ln w="9525">
                      <a:noFill/>
                    </a:ln>
                  </pic:spPr>
                </pic:pic>
              </a:graphicData>
            </a:graphic>
          </wp:inline>
        </w:drawing>
      </w:r>
    </w:p>
    <w:p w14:paraId="06CDF3B7">
      <w:pPr>
        <w:bidi w:val="0"/>
        <w:jc w:val="center"/>
        <w:rPr>
          <w:rFonts w:ascii="宋体" w:hAnsi="宋体" w:eastAsia="宋体" w:cs="宋体"/>
          <w:color w:val="auto"/>
          <w:sz w:val="18"/>
        </w:rPr>
      </w:pPr>
      <w:r>
        <w:rPr>
          <w:rFonts w:ascii="宋体" w:hAnsi="宋体" w:eastAsia="宋体" w:cs="宋体"/>
          <w:color w:val="auto"/>
          <w:sz w:val="18"/>
        </w:rPr>
        <w:t>图6-1-7 库存明细实体属性图</w:t>
      </w:r>
    </w:p>
    <w:p w14:paraId="4D6DF213">
      <w:pPr>
        <w:spacing w:before="0" w:after="0" w:line="360" w:lineRule="auto"/>
        <w:ind w:firstLine="480"/>
        <w:jc w:val="both"/>
        <w:rPr>
          <w:rFonts w:hint="eastAsia" w:eastAsia="宋体"/>
          <w:lang w:eastAsia="zh-CN"/>
        </w:rPr>
      </w:pPr>
      <w:r>
        <w:t xml:space="preserve">库存明细与入库主单之间保持一对多关系，数量字段需要满足非负和口径一致要求. 当某条库存明细已经被出库记录引用后，再调整数量或价格会直接影响库存计算，必须经过校验. </w:t>
      </w:r>
    </w:p>
    <w:p w14:paraId="3E8586E3">
      <w:pPr>
        <w:spacing w:before="0" w:after="0" w:line="360" w:lineRule="auto"/>
        <w:ind w:firstLine="480"/>
        <w:jc w:val="both"/>
        <w:rPr>
          <w:rFonts w:hint="eastAsia" w:eastAsia="宋体"/>
          <w:lang w:eastAsia="zh-CN"/>
        </w:rPr>
      </w:pPr>
      <w:r>
        <w:t xml:space="preserve">（8）出库记录实体（ExWarehouse）. 出库记录保存货物离开仓库后的结果，包括订单编号或业务标识、仓库标识、来源库存标识、出库日期、出库数量和备注等. 它把库存扣减与正常发货、加工流转或破损损耗等实际场景连接起来. </w:t>
      </w:r>
    </w:p>
    <w:p w14:paraId="348B489F">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598160" cy="4198620"/>
            <wp:effectExtent l="0" t="0" r="15240" b="17780"/>
            <wp:docPr id="183" name="Picture" descr="图6-1-8 出库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descr="图6-1-8 出库记录实体属性图"/>
                    <pic:cNvPicPr>
                      <a:picLocks noChangeAspect="1" noChangeArrowheads="1"/>
                    </pic:cNvPicPr>
                  </pic:nvPicPr>
                  <pic:blipFill>
                    <a:blip r:embed="rId25"/>
                    <a:stretch>
                      <a:fillRect/>
                    </a:stretch>
                  </pic:blipFill>
                  <pic:spPr>
                    <a:xfrm>
                      <a:off x="0" y="0"/>
                      <a:ext cx="5598160" cy="4198620"/>
                    </a:xfrm>
                    <a:prstGeom prst="rect">
                      <a:avLst/>
                    </a:prstGeom>
                    <a:noFill/>
                    <a:ln w="9525">
                      <a:noFill/>
                    </a:ln>
                  </pic:spPr>
                </pic:pic>
              </a:graphicData>
            </a:graphic>
          </wp:inline>
        </w:drawing>
      </w:r>
    </w:p>
    <w:p w14:paraId="244C1899">
      <w:pPr>
        <w:bidi w:val="0"/>
        <w:jc w:val="center"/>
        <w:rPr>
          <w:rFonts w:ascii="宋体" w:hAnsi="宋体" w:eastAsia="宋体" w:cs="宋体"/>
          <w:color w:val="auto"/>
          <w:sz w:val="18"/>
        </w:rPr>
      </w:pPr>
      <w:r>
        <w:rPr>
          <w:rFonts w:ascii="宋体" w:hAnsi="宋体" w:eastAsia="宋体" w:cs="宋体"/>
          <w:color w:val="auto"/>
          <w:sz w:val="18"/>
        </w:rPr>
        <w:t>图6-1-8 出库记录实体属性图</w:t>
      </w:r>
    </w:p>
    <w:p w14:paraId="784864A1">
      <w:pPr>
        <w:spacing w:before="0" w:after="0" w:line="360" w:lineRule="auto"/>
        <w:ind w:firstLine="480"/>
        <w:jc w:val="both"/>
        <w:rPr>
          <w:rFonts w:hint="eastAsia" w:eastAsia="宋体"/>
          <w:lang w:eastAsia="zh-CN"/>
        </w:rPr>
      </w:pPr>
      <w:r>
        <w:t xml:space="preserve">出库记录应指向真实有效的库存来源和仓库，出库数量不能超过可用库存. 不同出库场景可以共用一套记录结构，但在查询和统计时需要保留业务含义，避免把正常履约和异常损耗混在一起解释. </w:t>
      </w:r>
    </w:p>
    <w:p w14:paraId="1A278EAB">
      <w:pPr>
        <w:spacing w:before="0" w:after="0" w:line="360" w:lineRule="auto"/>
        <w:ind w:firstLine="480"/>
        <w:jc w:val="both"/>
        <w:rPr>
          <w:rFonts w:hint="eastAsia" w:eastAsia="宋体"/>
          <w:lang w:eastAsia="zh-CN"/>
        </w:rPr>
      </w:pPr>
      <w:r>
        <w:t xml:space="preserve">核心ER图的作用，是把上述实体重新放回同一条业务链中观察. 图6-1选取订单、入库、库存、出库和统计直接依赖的对象进行建模，弱化与本节主线关系较远的日志、附件和系统配置类数据. </w:t>
      </w:r>
    </w:p>
    <w:p w14:paraId="56BF90D5">
      <w:pPr>
        <w:spacing w:before="0" w:after="0" w:line="360" w:lineRule="auto"/>
        <w:ind w:firstLine="480"/>
        <w:jc w:val="both"/>
        <w:rPr>
          <w:rFonts w:hint="eastAsia" w:eastAsia="宋体"/>
          <w:lang w:eastAsia="zh-CN"/>
        </w:rPr>
      </w:pPr>
      <w:r>
        <w:t xml:space="preserve">从实体组成看，仓库、往来主体、银行卡、车辆、车队、科目和产品级别构成主数据层；订单主表和订单明细表描述业务来源与运输安排；入库主表和库存明细表记录库存形成；出库记录表反映库存流向；运费、付款、收款和银行账户变动实体记录资金结果. 往来主体通过companyType区分客户与供应商，因此在概念结构中统一抽象处理. </w:t>
      </w:r>
    </w:p>
    <w:p w14:paraId="59B598E8">
      <w:pPr>
        <w:spacing w:before="0" w:after="0" w:line="360" w:lineRule="auto"/>
        <w:ind w:firstLine="480"/>
        <w:jc w:val="both"/>
        <w:rPr>
          <w:rFonts w:hint="eastAsia" w:eastAsia="宋体"/>
          <w:lang w:eastAsia="zh-CN"/>
        </w:rPr>
      </w:pPr>
      <w:r>
        <w:t xml:space="preserve">订单链路以客户下单为起点，订单主表保存整体业务信息，订单明细表继续承接供应商、规格和库存来源等执行信息. ordersNo维持主从联系，supplierID、levelID、storeID等字段则把订单明细与仓储处理连接起来. </w:t>
      </w:r>
    </w:p>
    <w:p w14:paraId="7222FE5F">
      <w:pPr>
        <w:spacing w:before="0" w:after="0" w:line="360" w:lineRule="auto"/>
        <w:ind w:firstLine="480"/>
        <w:jc w:val="both"/>
        <w:rPr>
          <w:rFonts w:hint="eastAsia" w:eastAsia="宋体"/>
          <w:lang w:eastAsia="zh-CN"/>
        </w:rPr>
      </w:pPr>
      <w:r>
        <w:t xml:space="preserve">仓储链路以仓库和入库主单为入口，入库主单下挂多条库存明细；库存明细既引用供应来源和产品级别，又在出库发生时被出库记录引用，由此形成“入库形成-库存持有-出库流向”的追踪路径. </w:t>
      </w:r>
    </w:p>
    <w:p w14:paraId="7F499466">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942965" cy="4081780"/>
            <wp:effectExtent l="0" t="0" r="635" b="7620"/>
            <wp:docPr id="171" name="Picture" descr="图6-1 核心业务实体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descr="图6-1 核心业务实体关系图"/>
                    <pic:cNvPicPr>
                      <a:picLocks noChangeAspect="1" noChangeArrowheads="1"/>
                    </pic:cNvPicPr>
                  </pic:nvPicPr>
                  <pic:blipFill>
                    <a:blip r:embed="rId26"/>
                    <a:stretch>
                      <a:fillRect/>
                    </a:stretch>
                  </pic:blipFill>
                  <pic:spPr>
                    <a:xfrm>
                      <a:off x="0" y="0"/>
                      <a:ext cx="5942965" cy="4081780"/>
                    </a:xfrm>
                    <a:prstGeom prst="rect">
                      <a:avLst/>
                    </a:prstGeom>
                    <a:noFill/>
                    <a:ln w="9525">
                      <a:noFill/>
                    </a:ln>
                  </pic:spPr>
                </pic:pic>
              </a:graphicData>
            </a:graphic>
          </wp:inline>
        </w:drawing>
      </w:r>
    </w:p>
    <w:p w14:paraId="67898519">
      <w:pPr>
        <w:bidi w:val="0"/>
        <w:jc w:val="center"/>
        <w:rPr>
          <w:rFonts w:ascii="宋体" w:hAnsi="宋体" w:eastAsia="宋体" w:cs="宋体"/>
          <w:color w:val="auto"/>
          <w:sz w:val="18"/>
        </w:rPr>
      </w:pPr>
      <w:r>
        <w:rPr>
          <w:rFonts w:ascii="宋体" w:hAnsi="宋体" w:eastAsia="宋体" w:cs="宋体"/>
          <w:color w:val="auto"/>
          <w:sz w:val="18"/>
        </w:rPr>
        <w:t>图6-1 核心业务实体关系图</w:t>
      </w:r>
    </w:p>
    <w:bookmarkEnd w:id="79"/>
    <w:p w14:paraId="737EF615">
      <w:pPr>
        <w:pStyle w:val="6"/>
      </w:pPr>
      <w:bookmarkStart w:id="80" w:name="数据库表结构设计"/>
      <w:r>
        <w:t>4.4.2 数据库表结构设计</w:t>
      </w:r>
    </w:p>
    <w:p w14:paraId="76EC06EF">
      <w:pPr>
        <w:spacing w:before="0" w:after="0" w:line="360" w:lineRule="auto"/>
        <w:ind w:firstLine="480"/>
        <w:jc w:val="both"/>
        <w:rPr>
          <w:rFonts w:hint="eastAsia" w:eastAsia="宋体"/>
          <w:sz w:val="24"/>
          <w:lang w:eastAsia="zh-CN"/>
        </w:rPr>
      </w:pPr>
      <w:r>
        <w:t xml:space="preserve">表结构设计以论文覆盖的核心业务为边界，重点说明订单协同、入库管理、出库管理和库存统计所依赖的数据表. 为避免表结构说明过度展开，本节只选取能够体现业务关系和实体关联的关键字段进行列示，并补充基础信息维护模块中被订单、库存、运输和资金记录反复引用的主数据表. </w:t>
      </w:r>
    </w:p>
    <w:p w14:paraId="7B2592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表3仓库表</w:t>
      </w:r>
    </w:p>
    <w:tbl>
      <w:tblPr>
        <w:tblStyle w:val="21"/>
        <w:tblW w:w="0" w:type="auto"/>
        <w:jc w:val="center"/>
        <w:tblCaption w:val="表4 仓库表"/>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32"/>
        <w:gridCol w:w="1536"/>
        <w:gridCol w:w="1242"/>
        <w:gridCol w:w="1536"/>
      </w:tblGrid>
      <w:tr w14:paraId="0926A1E1">
        <w:trPr>
          <w:tblHeader/>
          <w:jc w:val="center"/>
        </w:trPr>
        <w:tc>
          <w:tcPr>
            <w:tcBorders>
              <w:bottom w:val="single" w:color="auto" w:sz="4" w:space="0"/>
            </w:tcBorders>
            <w:vAlign w:val="center"/>
          </w:tcPr>
          <w:p w14:paraId="46A322F6">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Borders>
              <w:bottom w:val="single" w:color="auto" w:sz="4" w:space="0"/>
            </w:tcBorders>
            <w:vAlign w:val="center"/>
          </w:tcPr>
          <w:p w14:paraId="7D12FCC0">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Borders>
              <w:bottom w:val="single" w:color="auto" w:sz="4" w:space="0"/>
            </w:tcBorders>
            <w:vAlign w:val="center"/>
          </w:tcPr>
          <w:p w14:paraId="7BE09C82">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Borders>
              <w:bottom w:val="single" w:color="auto" w:sz="4" w:space="0"/>
            </w:tcBorders>
            <w:vAlign w:val="center"/>
          </w:tcPr>
          <w:p w14:paraId="754F1452">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5A49AF62">
        <w:trPr>
          <w:jc w:val="center"/>
        </w:trPr>
        <w:tc>
          <w:tcPr>
            <w:tcBorders>
              <w:top w:val="single" w:color="auto" w:sz="4" w:space="0"/>
            </w:tcBorders>
            <w:vAlign w:val="center"/>
          </w:tcPr>
          <w:p w14:paraId="7189BB8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Borders>
              <w:top w:val="single" w:color="auto" w:sz="4" w:space="0"/>
            </w:tcBorders>
            <w:vAlign w:val="center"/>
          </w:tcPr>
          <w:p w14:paraId="0D99F8C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主键</w:t>
            </w:r>
          </w:p>
        </w:tc>
        <w:tc>
          <w:tcPr>
            <w:tcBorders>
              <w:top w:val="single" w:color="auto" w:sz="4" w:space="0"/>
            </w:tcBorders>
            <w:vAlign w:val="center"/>
          </w:tcPr>
          <w:p w14:paraId="1755631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Borders>
              <w:top w:val="single" w:color="auto" w:sz="4" w:space="0"/>
            </w:tcBorders>
            <w:vAlign w:val="center"/>
          </w:tcPr>
          <w:p w14:paraId="15DDE71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仓库唯一标识</w:t>
            </w:r>
          </w:p>
        </w:tc>
      </w:tr>
      <w:tr w14:paraId="2F51158A">
        <w:trPr>
          <w:jc w:val="center"/>
        </w:trPr>
        <w:tc>
          <w:tcPr>
            <w:vAlign w:val="center"/>
          </w:tcPr>
          <w:p w14:paraId="00498BD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storeHouseName</w:t>
            </w:r>
          </w:p>
        </w:tc>
        <w:tc>
          <w:tcPr>
            <w:vAlign w:val="center"/>
          </w:tcPr>
          <w:p w14:paraId="42A18AD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6E4CDAC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w:t>
            </w:r>
          </w:p>
        </w:tc>
        <w:tc>
          <w:tcPr>
            <w:vAlign w:val="center"/>
          </w:tcPr>
          <w:p w14:paraId="7A42001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仓库名称</w:t>
            </w:r>
          </w:p>
        </w:tc>
      </w:tr>
      <w:tr w14:paraId="2F1F26F8">
        <w:trPr>
          <w:jc w:val="center"/>
        </w:trPr>
        <w:tc>
          <w:tcPr>
            <w:vAlign w:val="center"/>
          </w:tcPr>
          <w:p w14:paraId="621580E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address</w:t>
            </w:r>
          </w:p>
        </w:tc>
        <w:tc>
          <w:tcPr>
            <w:vAlign w:val="center"/>
          </w:tcPr>
          <w:p w14:paraId="2C55C5A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69E024F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varchar(30)</w:t>
            </w:r>
          </w:p>
        </w:tc>
        <w:tc>
          <w:tcPr>
            <w:vAlign w:val="center"/>
          </w:tcPr>
          <w:p w14:paraId="63A4E2F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仓库地址</w:t>
            </w:r>
          </w:p>
        </w:tc>
      </w:tr>
      <w:tr w14:paraId="376320F1">
        <w:trPr>
          <w:jc w:val="center"/>
        </w:trPr>
        <w:tc>
          <w:tcPr>
            <w:vAlign w:val="center"/>
          </w:tcPr>
          <w:p w14:paraId="4E7B3F1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delFlag</w:t>
            </w:r>
          </w:p>
        </w:tc>
        <w:tc>
          <w:tcPr>
            <w:vAlign w:val="center"/>
          </w:tcPr>
          <w:p w14:paraId="737D0E1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逻辑删除字段</w:t>
            </w:r>
          </w:p>
        </w:tc>
        <w:tc>
          <w:tcPr>
            <w:vAlign w:val="center"/>
          </w:tcPr>
          <w:p w14:paraId="731C4A3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504C162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删除标志</w:t>
            </w:r>
          </w:p>
        </w:tc>
      </w:tr>
    </w:tbl>
    <w:p w14:paraId="4F085E41">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both"/>
        <w:textAlignment w:val="center"/>
        <w:rPr>
          <w:rFonts w:hint="eastAsia" w:eastAsia="宋体"/>
          <w:lang w:eastAsia="zh-CN"/>
        </w:rPr>
      </w:pPr>
      <w:r>
        <w:t xml:space="preserve">仓库表作为位置主数据，被入库主表和出库记录表共同引用，统一表示货物所在仓库. </w:t>
      </w:r>
    </w:p>
    <w:p w14:paraId="036F3A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表4往来主体表</w:t>
      </w:r>
    </w:p>
    <w:tbl>
      <w:tblPr>
        <w:tblStyle w:val="21"/>
        <w:tblW w:w="0" w:type="auto"/>
        <w:jc w:val="center"/>
        <w:tblCaption w:val="表5 往来主体表"/>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48"/>
        <w:gridCol w:w="1536"/>
        <w:gridCol w:w="1352"/>
        <w:gridCol w:w="2856"/>
      </w:tblGrid>
      <w:tr w14:paraId="7EB09FB9">
        <w:trPr>
          <w:tblHeader/>
          <w:jc w:val="center"/>
        </w:trPr>
        <w:tc>
          <w:tcPr>
            <w:tcBorders>
              <w:bottom w:val="single" w:color="auto" w:sz="4" w:space="0"/>
            </w:tcBorders>
            <w:vAlign w:val="center"/>
          </w:tcPr>
          <w:p w14:paraId="77B3A04C">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Borders>
              <w:bottom w:val="single" w:color="auto" w:sz="4" w:space="0"/>
            </w:tcBorders>
            <w:vAlign w:val="center"/>
          </w:tcPr>
          <w:p w14:paraId="225819BC">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Borders>
              <w:bottom w:val="single" w:color="auto" w:sz="4" w:space="0"/>
            </w:tcBorders>
            <w:vAlign w:val="center"/>
          </w:tcPr>
          <w:p w14:paraId="76439B97">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Borders>
              <w:bottom w:val="single" w:color="auto" w:sz="4" w:space="0"/>
            </w:tcBorders>
            <w:vAlign w:val="center"/>
          </w:tcPr>
          <w:p w14:paraId="2DF3ECF7">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0A021684">
        <w:trPr>
          <w:jc w:val="center"/>
        </w:trPr>
        <w:tc>
          <w:tcPr>
            <w:tcBorders>
              <w:top w:val="single" w:color="auto" w:sz="4" w:space="0"/>
            </w:tcBorders>
            <w:vAlign w:val="center"/>
          </w:tcPr>
          <w:p w14:paraId="2E3F038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Borders>
              <w:top w:val="single" w:color="auto" w:sz="4" w:space="0"/>
            </w:tcBorders>
            <w:vAlign w:val="center"/>
          </w:tcPr>
          <w:p w14:paraId="4033274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主键</w:t>
            </w:r>
          </w:p>
        </w:tc>
        <w:tc>
          <w:tcPr>
            <w:tcBorders>
              <w:top w:val="single" w:color="auto" w:sz="4" w:space="0"/>
            </w:tcBorders>
            <w:vAlign w:val="center"/>
          </w:tcPr>
          <w:p w14:paraId="50B518E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Borders>
              <w:top w:val="single" w:color="auto" w:sz="4" w:space="0"/>
            </w:tcBorders>
            <w:vAlign w:val="center"/>
          </w:tcPr>
          <w:p w14:paraId="193FA21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主体唯一标识</w:t>
            </w:r>
          </w:p>
        </w:tc>
      </w:tr>
      <w:tr w14:paraId="226E6083">
        <w:trPr>
          <w:jc w:val="center"/>
        </w:trPr>
        <w:tc>
          <w:tcPr>
            <w:vAlign w:val="center"/>
          </w:tcPr>
          <w:p w14:paraId="2B3B99D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companyType</w:t>
            </w:r>
          </w:p>
        </w:tc>
        <w:tc>
          <w:tcPr>
            <w:vAlign w:val="center"/>
          </w:tcPr>
          <w:p w14:paraId="4E47B67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5C59B08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w:t>
            </w:r>
          </w:p>
        </w:tc>
        <w:tc>
          <w:tcPr>
            <w:vAlign w:val="center"/>
          </w:tcPr>
          <w:p w14:paraId="5C85C16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主体类型（客户或供应商）</w:t>
            </w:r>
          </w:p>
        </w:tc>
      </w:tr>
      <w:tr w14:paraId="3CFB9DDA">
        <w:trPr>
          <w:jc w:val="center"/>
        </w:trPr>
        <w:tc>
          <w:tcPr>
            <w:vAlign w:val="center"/>
          </w:tcPr>
          <w:p w14:paraId="36520B0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companyName</w:t>
            </w:r>
          </w:p>
        </w:tc>
        <w:tc>
          <w:tcPr>
            <w:vAlign w:val="center"/>
          </w:tcPr>
          <w:p w14:paraId="22ADA56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62AF62B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varchar(550)</w:t>
            </w:r>
          </w:p>
        </w:tc>
        <w:tc>
          <w:tcPr>
            <w:vAlign w:val="center"/>
          </w:tcPr>
          <w:p w14:paraId="5874830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主体名称</w:t>
            </w:r>
          </w:p>
        </w:tc>
      </w:tr>
      <w:tr w14:paraId="11590392">
        <w:trPr>
          <w:jc w:val="center"/>
        </w:trPr>
        <w:tc>
          <w:tcPr>
            <w:vAlign w:val="center"/>
          </w:tcPr>
          <w:p w14:paraId="11FA300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relationName</w:t>
            </w:r>
          </w:p>
        </w:tc>
        <w:tc>
          <w:tcPr>
            <w:vAlign w:val="center"/>
          </w:tcPr>
          <w:p w14:paraId="73E6F1D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690A622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vAlign w:val="center"/>
          </w:tcPr>
          <w:p w14:paraId="41AB165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联系人</w:t>
            </w:r>
          </w:p>
        </w:tc>
      </w:tr>
      <w:tr w14:paraId="73E87EDF">
        <w:trPr>
          <w:jc w:val="center"/>
        </w:trPr>
        <w:tc>
          <w:tcPr>
            <w:vAlign w:val="center"/>
          </w:tcPr>
          <w:p w14:paraId="6C5BF27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relationTel</w:t>
            </w:r>
          </w:p>
        </w:tc>
        <w:tc>
          <w:tcPr>
            <w:vAlign w:val="center"/>
          </w:tcPr>
          <w:p w14:paraId="28464CB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5D3232E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varchar(30)</w:t>
            </w:r>
          </w:p>
        </w:tc>
        <w:tc>
          <w:tcPr>
            <w:vAlign w:val="center"/>
          </w:tcPr>
          <w:p w14:paraId="1DDB883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联系电话</w:t>
            </w:r>
          </w:p>
        </w:tc>
      </w:tr>
      <w:tr w14:paraId="1BC5FB9F">
        <w:trPr>
          <w:jc w:val="center"/>
        </w:trPr>
        <w:tc>
          <w:tcPr>
            <w:vAlign w:val="center"/>
          </w:tcPr>
          <w:p w14:paraId="749E954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address</w:t>
            </w:r>
          </w:p>
        </w:tc>
        <w:tc>
          <w:tcPr>
            <w:vAlign w:val="center"/>
          </w:tcPr>
          <w:p w14:paraId="26B7827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7D5D347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varchar(250)</w:t>
            </w:r>
          </w:p>
        </w:tc>
        <w:tc>
          <w:tcPr>
            <w:vAlign w:val="center"/>
          </w:tcPr>
          <w:p w14:paraId="7EE6AC6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联系地址</w:t>
            </w:r>
          </w:p>
        </w:tc>
      </w:tr>
      <w:tr w14:paraId="5DBA129B">
        <w:trPr>
          <w:jc w:val="center"/>
        </w:trPr>
        <w:tc>
          <w:tcPr>
            <w:vAlign w:val="center"/>
          </w:tcPr>
          <w:p w14:paraId="0D5CDA2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delFlag</w:t>
            </w:r>
          </w:p>
        </w:tc>
        <w:tc>
          <w:tcPr>
            <w:vAlign w:val="center"/>
          </w:tcPr>
          <w:p w14:paraId="610E8D6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逻辑删除字段</w:t>
            </w:r>
          </w:p>
        </w:tc>
        <w:tc>
          <w:tcPr>
            <w:vAlign w:val="center"/>
          </w:tcPr>
          <w:p w14:paraId="1C8E8AD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451CD38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删除标志</w:t>
            </w:r>
          </w:p>
        </w:tc>
      </w:tr>
    </w:tbl>
    <w:p w14:paraId="47178BAA">
      <w:pPr>
        <w:spacing w:before="0" w:after="0" w:line="360" w:lineRule="auto"/>
        <w:ind w:firstLine="480"/>
        <w:jc w:val="both"/>
      </w:pPr>
    </w:p>
    <w:p w14:paraId="3939A037">
      <w:pPr>
        <w:spacing w:before="0" w:after="0" w:line="360" w:lineRule="auto"/>
        <w:ind w:firstLine="480"/>
        <w:jc w:val="both"/>
        <w:rPr>
          <w:rFonts w:hint="eastAsia" w:eastAsia="宋体"/>
          <w:lang w:eastAsia="zh-CN"/>
        </w:rPr>
      </w:pPr>
      <w:r>
        <w:t xml:space="preserve">往来主体表维护客户与供应商信息，是订单主表、订单明细表、库存明细表、付款收款记录和统计查询的共同来源实体. </w:t>
      </w:r>
    </w:p>
    <w:p w14:paraId="3A8DD5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表6 产品级别表</w:t>
      </w:r>
    </w:p>
    <w:tbl>
      <w:tblPr>
        <w:tblStyle w:val="21"/>
        <w:tblW w:w="0" w:type="auto"/>
        <w:jc w:val="center"/>
        <w:tblCaption w:val="表6 产品级别表"/>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99"/>
        <w:gridCol w:w="1536"/>
        <w:gridCol w:w="1242"/>
        <w:gridCol w:w="1976"/>
      </w:tblGrid>
      <w:tr w14:paraId="0558EEEF">
        <w:trPr>
          <w:tblHeader/>
          <w:jc w:val="center"/>
        </w:trPr>
        <w:tc>
          <w:tcPr>
            <w:tcBorders>
              <w:bottom w:val="single" w:color="auto" w:sz="4" w:space="0"/>
            </w:tcBorders>
            <w:vAlign w:val="center"/>
          </w:tcPr>
          <w:p w14:paraId="565423CB">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Borders>
              <w:bottom w:val="single" w:color="auto" w:sz="4" w:space="0"/>
            </w:tcBorders>
            <w:vAlign w:val="center"/>
          </w:tcPr>
          <w:p w14:paraId="1BD08A0F">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Borders>
              <w:bottom w:val="single" w:color="auto" w:sz="4" w:space="0"/>
            </w:tcBorders>
            <w:vAlign w:val="center"/>
          </w:tcPr>
          <w:p w14:paraId="0488EF12">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Borders>
              <w:bottom w:val="single" w:color="auto" w:sz="4" w:space="0"/>
            </w:tcBorders>
            <w:vAlign w:val="center"/>
          </w:tcPr>
          <w:p w14:paraId="74C6E330">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1CFEA991">
        <w:trPr>
          <w:jc w:val="center"/>
        </w:trPr>
        <w:tc>
          <w:tcPr>
            <w:tcBorders>
              <w:top w:val="single" w:color="auto" w:sz="4" w:space="0"/>
            </w:tcBorders>
            <w:vAlign w:val="center"/>
          </w:tcPr>
          <w:p w14:paraId="3F3388C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Borders>
              <w:top w:val="single" w:color="auto" w:sz="4" w:space="0"/>
            </w:tcBorders>
            <w:vAlign w:val="center"/>
          </w:tcPr>
          <w:p w14:paraId="36DE728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主键</w:t>
            </w:r>
          </w:p>
        </w:tc>
        <w:tc>
          <w:tcPr>
            <w:tcBorders>
              <w:top w:val="single" w:color="auto" w:sz="4" w:space="0"/>
            </w:tcBorders>
            <w:vAlign w:val="center"/>
          </w:tcPr>
          <w:p w14:paraId="69AFDD3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Borders>
              <w:top w:val="single" w:color="auto" w:sz="4" w:space="0"/>
            </w:tcBorders>
            <w:vAlign w:val="center"/>
          </w:tcPr>
          <w:p w14:paraId="7926792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产品级别唯一标识</w:t>
            </w:r>
          </w:p>
        </w:tc>
      </w:tr>
      <w:tr w14:paraId="7AC12AC6">
        <w:trPr>
          <w:jc w:val="center"/>
        </w:trPr>
        <w:tc>
          <w:tcPr>
            <w:vAlign w:val="center"/>
          </w:tcPr>
          <w:p w14:paraId="68B5B97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levelNo</w:t>
            </w:r>
          </w:p>
        </w:tc>
        <w:tc>
          <w:tcPr>
            <w:vAlign w:val="center"/>
          </w:tcPr>
          <w:p w14:paraId="7E2621B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58530B9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w:t>
            </w:r>
          </w:p>
        </w:tc>
        <w:tc>
          <w:tcPr>
            <w:vAlign w:val="center"/>
          </w:tcPr>
          <w:p w14:paraId="2AB918A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级别编码</w:t>
            </w:r>
          </w:p>
        </w:tc>
      </w:tr>
      <w:tr w14:paraId="15EFBD6E">
        <w:trPr>
          <w:jc w:val="center"/>
        </w:trPr>
        <w:tc>
          <w:tcPr>
            <w:vAlign w:val="center"/>
          </w:tcPr>
          <w:p w14:paraId="5C5FB73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levelName</w:t>
            </w:r>
          </w:p>
        </w:tc>
        <w:tc>
          <w:tcPr>
            <w:vAlign w:val="center"/>
          </w:tcPr>
          <w:p w14:paraId="6D1A961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1B29B8A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varchar(80)</w:t>
            </w:r>
          </w:p>
        </w:tc>
        <w:tc>
          <w:tcPr>
            <w:vAlign w:val="center"/>
          </w:tcPr>
          <w:p w14:paraId="055CC46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级别名称</w:t>
            </w:r>
          </w:p>
        </w:tc>
      </w:tr>
      <w:tr w14:paraId="5A8856C7">
        <w:trPr>
          <w:jc w:val="center"/>
        </w:trPr>
        <w:tc>
          <w:tcPr>
            <w:vAlign w:val="center"/>
          </w:tcPr>
          <w:p w14:paraId="1E950EE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categoryName</w:t>
            </w:r>
          </w:p>
        </w:tc>
        <w:tc>
          <w:tcPr>
            <w:vAlign w:val="center"/>
          </w:tcPr>
          <w:p w14:paraId="2AB3619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6C57E00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varchar(80)</w:t>
            </w:r>
          </w:p>
        </w:tc>
        <w:tc>
          <w:tcPr>
            <w:vAlign w:val="center"/>
          </w:tcPr>
          <w:p w14:paraId="6D63BAD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分类名称</w:t>
            </w:r>
          </w:p>
        </w:tc>
      </w:tr>
      <w:tr w14:paraId="13779269">
        <w:trPr>
          <w:jc w:val="center"/>
        </w:trPr>
        <w:tc>
          <w:tcPr>
            <w:vAlign w:val="center"/>
          </w:tcPr>
          <w:p w14:paraId="3EF35D3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height</w:t>
            </w:r>
          </w:p>
        </w:tc>
        <w:tc>
          <w:tcPr>
            <w:vAlign w:val="center"/>
          </w:tcPr>
          <w:p w14:paraId="38BBB18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1D20341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double</w:t>
            </w:r>
          </w:p>
        </w:tc>
        <w:tc>
          <w:tcPr>
            <w:vAlign w:val="center"/>
          </w:tcPr>
          <w:p w14:paraId="1F0A9F2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厚度</w:t>
            </w:r>
          </w:p>
        </w:tc>
      </w:tr>
      <w:tr w14:paraId="21C47CFD">
        <w:trPr>
          <w:jc w:val="center"/>
        </w:trPr>
        <w:tc>
          <w:tcPr>
            <w:vAlign w:val="center"/>
          </w:tcPr>
          <w:p w14:paraId="59B6823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length</w:t>
            </w:r>
          </w:p>
        </w:tc>
        <w:tc>
          <w:tcPr>
            <w:vAlign w:val="center"/>
          </w:tcPr>
          <w:p w14:paraId="5608682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56E1CEC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double</w:t>
            </w:r>
          </w:p>
        </w:tc>
        <w:tc>
          <w:tcPr>
            <w:vAlign w:val="center"/>
          </w:tcPr>
          <w:p w14:paraId="5601AF7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长度</w:t>
            </w:r>
          </w:p>
        </w:tc>
      </w:tr>
      <w:tr w14:paraId="02424E0F">
        <w:trPr>
          <w:jc w:val="center"/>
        </w:trPr>
        <w:tc>
          <w:tcPr>
            <w:vAlign w:val="center"/>
          </w:tcPr>
          <w:p w14:paraId="75C815F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width</w:t>
            </w:r>
          </w:p>
        </w:tc>
        <w:tc>
          <w:tcPr>
            <w:vAlign w:val="center"/>
          </w:tcPr>
          <w:p w14:paraId="2673377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5203456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double</w:t>
            </w:r>
          </w:p>
        </w:tc>
        <w:tc>
          <w:tcPr>
            <w:vAlign w:val="center"/>
          </w:tcPr>
          <w:p w14:paraId="331EF44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宽度</w:t>
            </w:r>
          </w:p>
        </w:tc>
      </w:tr>
      <w:tr w14:paraId="289BE07A">
        <w:trPr>
          <w:jc w:val="center"/>
        </w:trPr>
        <w:tc>
          <w:tcPr>
            <w:vAlign w:val="center"/>
          </w:tcPr>
          <w:p w14:paraId="770B99D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tonnage</w:t>
            </w:r>
          </w:p>
        </w:tc>
        <w:tc>
          <w:tcPr>
            <w:vAlign w:val="center"/>
          </w:tcPr>
          <w:p w14:paraId="514D20A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40A8466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double</w:t>
            </w:r>
          </w:p>
        </w:tc>
        <w:tc>
          <w:tcPr>
            <w:vAlign w:val="center"/>
          </w:tcPr>
          <w:p w14:paraId="028D261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吨位</w:t>
            </w:r>
          </w:p>
        </w:tc>
      </w:tr>
      <w:tr w14:paraId="4180F225">
        <w:trPr>
          <w:jc w:val="center"/>
        </w:trPr>
        <w:tc>
          <w:tcPr>
            <w:vAlign w:val="center"/>
          </w:tcPr>
          <w:p w14:paraId="6128DC1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delFlag</w:t>
            </w:r>
          </w:p>
        </w:tc>
        <w:tc>
          <w:tcPr>
            <w:vAlign w:val="center"/>
          </w:tcPr>
          <w:p w14:paraId="4AF6FF1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逻辑删除字段</w:t>
            </w:r>
          </w:p>
        </w:tc>
        <w:tc>
          <w:tcPr>
            <w:vAlign w:val="center"/>
          </w:tcPr>
          <w:p w14:paraId="44DEDDA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79E903E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删除标志</w:t>
            </w:r>
          </w:p>
        </w:tc>
      </w:tr>
    </w:tbl>
    <w:p w14:paraId="6E924737">
      <w:pPr>
        <w:spacing w:before="0" w:after="0" w:line="360" w:lineRule="auto"/>
        <w:jc w:val="both"/>
        <w:rPr>
          <w:rFonts w:hint="eastAsia" w:ascii="Times New Roman" w:hAnsi="Times New Roman" w:eastAsia="宋体"/>
          <w:sz w:val="24"/>
        </w:rPr>
      </w:pPr>
    </w:p>
    <w:p w14:paraId="7572C34C">
      <w:pPr>
        <w:spacing w:before="0" w:after="0" w:line="360" w:lineRule="auto"/>
        <w:jc w:val="both"/>
        <w:rPr>
          <w:rFonts w:hint="eastAsia" w:eastAsia="宋体"/>
          <w:lang w:eastAsia="zh-CN"/>
        </w:rPr>
      </w:pPr>
      <w:r>
        <w:t xml:space="preserve">产品级别表承担玻璃规格的建模职责，为订单明细和库存明细提供统一的规格引用. </w:t>
      </w:r>
    </w:p>
    <w:p w14:paraId="1EFFB8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表6-1 银行账号表</w:t>
      </w:r>
    </w:p>
    <w:tbl>
      <w:tblPr>
        <w:tblStyle w:val="21"/>
        <w:tblW w:w="0" w:type="auto"/>
        <w:jc w:val="center"/>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26"/>
        <w:gridCol w:w="2126"/>
        <w:gridCol w:w="2126"/>
        <w:gridCol w:w="2126"/>
      </w:tblGrid>
      <w:tr w14:paraId="7BFC1889">
        <w:trPr>
          <w:jc w:val="center"/>
        </w:trPr>
        <w:tc>
          <w:tcPr>
            <w:tcW w:w="2126" w:type="dxa"/>
            <w:tcBorders>
              <w:bottom w:val="single" w:color="auto" w:sz="4" w:space="0"/>
            </w:tcBorders>
            <w:vAlign w:val="center"/>
          </w:tcPr>
          <w:p w14:paraId="18106375">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W w:w="2126" w:type="dxa"/>
            <w:tcBorders>
              <w:bottom w:val="single" w:color="auto" w:sz="4" w:space="0"/>
            </w:tcBorders>
            <w:vAlign w:val="center"/>
          </w:tcPr>
          <w:p w14:paraId="3EBC4ED2">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W w:w="2126" w:type="dxa"/>
            <w:tcBorders>
              <w:bottom w:val="single" w:color="auto" w:sz="4" w:space="0"/>
            </w:tcBorders>
            <w:vAlign w:val="center"/>
          </w:tcPr>
          <w:p w14:paraId="038156D5">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W w:w="2126" w:type="dxa"/>
            <w:tcBorders>
              <w:bottom w:val="single" w:color="auto" w:sz="4" w:space="0"/>
            </w:tcBorders>
            <w:vAlign w:val="center"/>
          </w:tcPr>
          <w:p w14:paraId="063256CD">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06812FE4">
        <w:trPr>
          <w:jc w:val="center"/>
        </w:trPr>
        <w:tc>
          <w:tcPr>
            <w:tcW w:w="2126" w:type="dxa"/>
            <w:tcBorders>
              <w:top w:val="single" w:color="auto" w:sz="4" w:space="0"/>
            </w:tcBorders>
            <w:vAlign w:val="center"/>
          </w:tcPr>
          <w:p w14:paraId="3070A14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W w:w="2126" w:type="dxa"/>
            <w:tcBorders>
              <w:top w:val="single" w:color="auto" w:sz="4" w:space="0"/>
            </w:tcBorders>
            <w:vAlign w:val="center"/>
          </w:tcPr>
          <w:p w14:paraId="0CCEF6E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主键</w:t>
            </w:r>
          </w:p>
        </w:tc>
        <w:tc>
          <w:tcPr>
            <w:tcW w:w="2126" w:type="dxa"/>
            <w:tcBorders>
              <w:top w:val="single" w:color="auto" w:sz="4" w:space="0"/>
            </w:tcBorders>
            <w:vAlign w:val="center"/>
          </w:tcPr>
          <w:p w14:paraId="30E762D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W w:w="2126" w:type="dxa"/>
            <w:tcBorders>
              <w:top w:val="single" w:color="auto" w:sz="4" w:space="0"/>
            </w:tcBorders>
            <w:vAlign w:val="center"/>
          </w:tcPr>
          <w:p w14:paraId="60CD98A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银行账号唯一标识</w:t>
            </w:r>
          </w:p>
        </w:tc>
      </w:tr>
      <w:tr w14:paraId="2F5414DB">
        <w:trPr>
          <w:jc w:val="center"/>
        </w:trPr>
        <w:tc>
          <w:tcPr>
            <w:tcW w:w="2126" w:type="dxa"/>
            <w:vAlign w:val="center"/>
          </w:tcPr>
          <w:p w14:paraId="1EB89EE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displayName</w:t>
            </w:r>
          </w:p>
        </w:tc>
        <w:tc>
          <w:tcPr>
            <w:tcW w:w="2126" w:type="dxa"/>
            <w:vAlign w:val="center"/>
          </w:tcPr>
          <w:p w14:paraId="15A8BD8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4EF8DD7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varchar(255)</w:t>
            </w:r>
          </w:p>
        </w:tc>
        <w:tc>
          <w:tcPr>
            <w:tcW w:w="2126" w:type="dxa"/>
            <w:vAlign w:val="center"/>
          </w:tcPr>
          <w:p w14:paraId="7BFC0EE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账号显示名称</w:t>
            </w:r>
          </w:p>
        </w:tc>
      </w:tr>
      <w:tr w14:paraId="5EB5C5E3">
        <w:trPr>
          <w:jc w:val="center"/>
        </w:trPr>
        <w:tc>
          <w:tcPr>
            <w:tcW w:w="2126" w:type="dxa"/>
            <w:vAlign w:val="center"/>
          </w:tcPr>
          <w:p w14:paraId="495024B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companyId</w:t>
            </w:r>
          </w:p>
        </w:tc>
        <w:tc>
          <w:tcPr>
            <w:tcW w:w="2126" w:type="dxa"/>
            <w:vAlign w:val="center"/>
          </w:tcPr>
          <w:p w14:paraId="0128D34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外键/引用</w:t>
            </w:r>
          </w:p>
        </w:tc>
        <w:tc>
          <w:tcPr>
            <w:tcW w:w="2126" w:type="dxa"/>
            <w:vAlign w:val="center"/>
          </w:tcPr>
          <w:p w14:paraId="7B3F540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W w:w="2126" w:type="dxa"/>
            <w:vAlign w:val="center"/>
          </w:tcPr>
          <w:p w14:paraId="21ABF1F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关联客户、供应商、司机或己方主体</w:t>
            </w:r>
          </w:p>
        </w:tc>
      </w:tr>
      <w:tr w14:paraId="63B31A97">
        <w:trPr>
          <w:jc w:val="center"/>
        </w:trPr>
        <w:tc>
          <w:tcPr>
            <w:tcW w:w="2126" w:type="dxa"/>
            <w:vAlign w:val="center"/>
          </w:tcPr>
          <w:p w14:paraId="507EE0E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companyName</w:t>
            </w:r>
          </w:p>
        </w:tc>
        <w:tc>
          <w:tcPr>
            <w:tcW w:w="2126" w:type="dxa"/>
            <w:vAlign w:val="center"/>
          </w:tcPr>
          <w:p w14:paraId="21D28AE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冗余字段</w:t>
            </w:r>
          </w:p>
        </w:tc>
        <w:tc>
          <w:tcPr>
            <w:tcW w:w="2126" w:type="dxa"/>
            <w:vAlign w:val="center"/>
          </w:tcPr>
          <w:p w14:paraId="05E2D46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varchar(550)</w:t>
            </w:r>
          </w:p>
        </w:tc>
        <w:tc>
          <w:tcPr>
            <w:tcW w:w="2126" w:type="dxa"/>
            <w:vAlign w:val="center"/>
          </w:tcPr>
          <w:p w14:paraId="32A41F9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主体名称</w:t>
            </w:r>
          </w:p>
        </w:tc>
      </w:tr>
      <w:tr w14:paraId="3FA33ECF">
        <w:trPr>
          <w:jc w:val="center"/>
        </w:trPr>
        <w:tc>
          <w:tcPr>
            <w:tcW w:w="2126" w:type="dxa"/>
            <w:vAlign w:val="center"/>
          </w:tcPr>
          <w:p w14:paraId="06AFF53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bankName</w:t>
            </w:r>
          </w:p>
        </w:tc>
        <w:tc>
          <w:tcPr>
            <w:tcW w:w="2126" w:type="dxa"/>
            <w:vAlign w:val="center"/>
          </w:tcPr>
          <w:p w14:paraId="06495CA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142077E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varchar(200)</w:t>
            </w:r>
          </w:p>
        </w:tc>
        <w:tc>
          <w:tcPr>
            <w:tcW w:w="2126" w:type="dxa"/>
            <w:vAlign w:val="center"/>
          </w:tcPr>
          <w:p w14:paraId="696569A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开户行</w:t>
            </w:r>
          </w:p>
        </w:tc>
      </w:tr>
      <w:tr w14:paraId="24C8A66E">
        <w:trPr>
          <w:jc w:val="center"/>
        </w:trPr>
        <w:tc>
          <w:tcPr>
            <w:tcW w:w="2126" w:type="dxa"/>
            <w:vAlign w:val="center"/>
          </w:tcPr>
          <w:p w14:paraId="486D63C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acountsName</w:t>
            </w:r>
          </w:p>
        </w:tc>
        <w:tc>
          <w:tcPr>
            <w:tcW w:w="2126" w:type="dxa"/>
            <w:vAlign w:val="center"/>
          </w:tcPr>
          <w:p w14:paraId="2998A39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418EA00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varchar(200)</w:t>
            </w:r>
          </w:p>
        </w:tc>
        <w:tc>
          <w:tcPr>
            <w:tcW w:w="2126" w:type="dxa"/>
            <w:vAlign w:val="center"/>
          </w:tcPr>
          <w:p w14:paraId="4D3B9CE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开户名称</w:t>
            </w:r>
          </w:p>
        </w:tc>
      </w:tr>
      <w:tr w14:paraId="6A6EAFB9">
        <w:trPr>
          <w:jc w:val="center"/>
        </w:trPr>
        <w:tc>
          <w:tcPr>
            <w:tcW w:w="2126" w:type="dxa"/>
            <w:vAlign w:val="center"/>
          </w:tcPr>
          <w:p w14:paraId="7B35FAF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bankNo</w:t>
            </w:r>
          </w:p>
        </w:tc>
        <w:tc>
          <w:tcPr>
            <w:tcW w:w="2126" w:type="dxa"/>
            <w:vAlign w:val="center"/>
          </w:tcPr>
          <w:p w14:paraId="5237E7E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686E606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varchar(200)</w:t>
            </w:r>
          </w:p>
        </w:tc>
        <w:tc>
          <w:tcPr>
            <w:tcW w:w="2126" w:type="dxa"/>
            <w:vAlign w:val="center"/>
          </w:tcPr>
          <w:p w14:paraId="7364D05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银行账号</w:t>
            </w:r>
          </w:p>
        </w:tc>
      </w:tr>
      <w:tr w14:paraId="5BE1EE6E">
        <w:trPr>
          <w:jc w:val="center"/>
        </w:trPr>
        <w:tc>
          <w:tcPr>
            <w:tcW w:w="2126" w:type="dxa"/>
            <w:vAlign w:val="center"/>
          </w:tcPr>
          <w:p w14:paraId="6F3E0D7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acountsType</w:t>
            </w:r>
          </w:p>
        </w:tc>
        <w:tc>
          <w:tcPr>
            <w:tcW w:w="2126" w:type="dxa"/>
            <w:vAlign w:val="center"/>
          </w:tcPr>
          <w:p w14:paraId="71AE94A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687EAF0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W w:w="2126" w:type="dxa"/>
            <w:vAlign w:val="center"/>
          </w:tcPr>
          <w:p w14:paraId="5C1B897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账户类型</w:t>
            </w:r>
          </w:p>
        </w:tc>
      </w:tr>
      <w:tr w14:paraId="3C401AE5">
        <w:trPr>
          <w:jc w:val="center"/>
        </w:trPr>
        <w:tc>
          <w:tcPr>
            <w:tcW w:w="2126" w:type="dxa"/>
            <w:vAlign w:val="center"/>
          </w:tcPr>
          <w:p w14:paraId="658C0A2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IsPublicAccount</w:t>
            </w:r>
          </w:p>
        </w:tc>
        <w:tc>
          <w:tcPr>
            <w:tcW w:w="2126" w:type="dxa"/>
            <w:vAlign w:val="center"/>
          </w:tcPr>
          <w:p w14:paraId="14D3A6D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状态字段</w:t>
            </w:r>
          </w:p>
        </w:tc>
        <w:tc>
          <w:tcPr>
            <w:tcW w:w="2126" w:type="dxa"/>
            <w:vAlign w:val="center"/>
          </w:tcPr>
          <w:p w14:paraId="798F092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tinyint</w:t>
            </w:r>
          </w:p>
        </w:tc>
        <w:tc>
          <w:tcPr>
            <w:tcW w:w="2126" w:type="dxa"/>
            <w:vAlign w:val="center"/>
          </w:tcPr>
          <w:p w14:paraId="02AB51B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己方账户公私户标识</w:t>
            </w:r>
          </w:p>
        </w:tc>
      </w:tr>
      <w:tr w14:paraId="31E7BC47">
        <w:trPr>
          <w:jc w:val="center"/>
        </w:trPr>
        <w:tc>
          <w:tcPr>
            <w:tcW w:w="2126" w:type="dxa"/>
            <w:vAlign w:val="center"/>
          </w:tcPr>
          <w:p w14:paraId="05DE278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sort</w:t>
            </w:r>
          </w:p>
        </w:tc>
        <w:tc>
          <w:tcPr>
            <w:tcW w:w="2126" w:type="dxa"/>
            <w:vAlign w:val="center"/>
          </w:tcPr>
          <w:p w14:paraId="48F3E09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排序字段</w:t>
            </w:r>
          </w:p>
        </w:tc>
        <w:tc>
          <w:tcPr>
            <w:tcW w:w="2126" w:type="dxa"/>
            <w:vAlign w:val="center"/>
          </w:tcPr>
          <w:p w14:paraId="0916087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int</w:t>
            </w:r>
          </w:p>
        </w:tc>
        <w:tc>
          <w:tcPr>
            <w:tcW w:w="2126" w:type="dxa"/>
            <w:vAlign w:val="center"/>
          </w:tcPr>
          <w:p w14:paraId="43407D3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列表显示顺序</w:t>
            </w:r>
          </w:p>
        </w:tc>
      </w:tr>
      <w:tr w14:paraId="5B0EBC44">
        <w:trPr>
          <w:jc w:val="center"/>
        </w:trPr>
        <w:tc>
          <w:tcPr>
            <w:tcW w:w="2126" w:type="dxa"/>
            <w:vAlign w:val="center"/>
          </w:tcPr>
          <w:p w14:paraId="3DBA291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comments</w:t>
            </w:r>
          </w:p>
        </w:tc>
        <w:tc>
          <w:tcPr>
            <w:tcW w:w="2126" w:type="dxa"/>
            <w:vAlign w:val="center"/>
          </w:tcPr>
          <w:p w14:paraId="3857388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备注字段</w:t>
            </w:r>
          </w:p>
        </w:tc>
        <w:tc>
          <w:tcPr>
            <w:tcW w:w="2126" w:type="dxa"/>
            <w:vAlign w:val="center"/>
          </w:tcPr>
          <w:p w14:paraId="3CF6E4F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varchar(200)</w:t>
            </w:r>
          </w:p>
        </w:tc>
        <w:tc>
          <w:tcPr>
            <w:tcW w:w="2126" w:type="dxa"/>
            <w:vAlign w:val="center"/>
          </w:tcPr>
          <w:p w14:paraId="4F27986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备注</w:t>
            </w:r>
          </w:p>
        </w:tc>
      </w:tr>
      <w:tr w14:paraId="62CB778D">
        <w:trPr>
          <w:jc w:val="center"/>
        </w:trPr>
        <w:tc>
          <w:tcPr>
            <w:tcW w:w="2126" w:type="dxa"/>
            <w:vAlign w:val="center"/>
          </w:tcPr>
          <w:p w14:paraId="1469799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delFlag</w:t>
            </w:r>
          </w:p>
        </w:tc>
        <w:tc>
          <w:tcPr>
            <w:tcW w:w="2126" w:type="dxa"/>
            <w:vAlign w:val="center"/>
          </w:tcPr>
          <w:p w14:paraId="3462050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逻辑删除字段</w:t>
            </w:r>
          </w:p>
        </w:tc>
        <w:tc>
          <w:tcPr>
            <w:tcW w:w="2126" w:type="dxa"/>
            <w:vAlign w:val="center"/>
          </w:tcPr>
          <w:p w14:paraId="17AE0EE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int</w:t>
            </w:r>
          </w:p>
        </w:tc>
        <w:tc>
          <w:tcPr>
            <w:tcW w:w="2126" w:type="dxa"/>
            <w:vAlign w:val="center"/>
          </w:tcPr>
          <w:p w14:paraId="723579B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删除标记</w:t>
            </w:r>
          </w:p>
        </w:tc>
      </w:tr>
    </w:tbl>
    <w:p w14:paraId="6161FF74">
      <w:r>
        <w:rPr>
          <w:rFonts w:ascii="Times New Roman" w:hAnsi="Times New Roman" w:eastAsia="宋体"/>
          <w:b w:val="0"/>
          <w:color w:val="000000"/>
          <w:sz w:val="21"/>
        </w:rPr>
        <w:t>银行账号表维护不同主体的账户资料，为收付款、银行流水和余额统计提供账号来源。</w:t>
      </w:r>
    </w:p>
    <w:p w14:paraId="751079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表6-2 外部车辆表</w:t>
      </w:r>
    </w:p>
    <w:tbl>
      <w:tblPr>
        <w:tblStyle w:val="21"/>
        <w:tblW w:w="0" w:type="auto"/>
        <w:jc w:val="center"/>
        <w:tblLayout w:type="autofit"/>
        <w:tblCellMar>
          <w:top w:w="0" w:type="dxa"/>
          <w:left w:w="108" w:type="dxa"/>
          <w:bottom w:w="0" w:type="dxa"/>
          <w:right w:w="108" w:type="dxa"/>
        </w:tblCellMar>
      </w:tblPr>
      <w:tblGrid>
        <w:gridCol w:w="2126"/>
        <w:gridCol w:w="2126"/>
        <w:gridCol w:w="2126"/>
        <w:gridCol w:w="2126"/>
      </w:tblGrid>
      <w:tr w14:paraId="15DDF43D">
        <w:trPr>
          <w:jc w:val="center"/>
        </w:trPr>
        <w:tc>
          <w:tcPr>
            <w:tcW w:w="2126" w:type="dxa"/>
            <w:tcBorders>
              <w:top w:val="single" w:color="auto" w:sz="4" w:space="0"/>
              <w:bottom w:val="single" w:color="auto" w:sz="4" w:space="0"/>
            </w:tcBorders>
            <w:vAlign w:val="center"/>
          </w:tcPr>
          <w:p w14:paraId="36BF47A6">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W w:w="2126" w:type="dxa"/>
            <w:tcBorders>
              <w:top w:val="single" w:color="auto" w:sz="4" w:space="0"/>
              <w:bottom w:val="single" w:color="auto" w:sz="4" w:space="0"/>
            </w:tcBorders>
            <w:vAlign w:val="center"/>
          </w:tcPr>
          <w:p w14:paraId="59F716CA">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W w:w="2126" w:type="dxa"/>
            <w:tcBorders>
              <w:top w:val="single" w:color="auto" w:sz="4" w:space="0"/>
              <w:bottom w:val="single" w:color="auto" w:sz="4" w:space="0"/>
            </w:tcBorders>
            <w:vAlign w:val="center"/>
          </w:tcPr>
          <w:p w14:paraId="1364EC89">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W w:w="2126" w:type="dxa"/>
            <w:tcBorders>
              <w:top w:val="single" w:color="auto" w:sz="4" w:space="0"/>
              <w:bottom w:val="single" w:color="auto" w:sz="4" w:space="0"/>
            </w:tcBorders>
            <w:vAlign w:val="center"/>
          </w:tcPr>
          <w:p w14:paraId="48C6A792">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7A689906">
        <w:trPr>
          <w:jc w:val="center"/>
        </w:trPr>
        <w:tc>
          <w:tcPr>
            <w:tcW w:w="2126" w:type="dxa"/>
            <w:tcBorders>
              <w:top w:val="single" w:color="auto" w:sz="4" w:space="0"/>
            </w:tcBorders>
            <w:vAlign w:val="center"/>
          </w:tcPr>
          <w:p w14:paraId="4AF77EF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W w:w="2126" w:type="dxa"/>
            <w:tcBorders>
              <w:top w:val="single" w:color="auto" w:sz="4" w:space="0"/>
            </w:tcBorders>
            <w:vAlign w:val="center"/>
          </w:tcPr>
          <w:p w14:paraId="091218A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主键</w:t>
            </w:r>
          </w:p>
        </w:tc>
        <w:tc>
          <w:tcPr>
            <w:tcW w:w="2126" w:type="dxa"/>
            <w:tcBorders>
              <w:top w:val="single" w:color="auto" w:sz="4" w:space="0"/>
            </w:tcBorders>
            <w:vAlign w:val="center"/>
          </w:tcPr>
          <w:p w14:paraId="6C97FB0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W w:w="2126" w:type="dxa"/>
            <w:tcBorders>
              <w:top w:val="single" w:color="auto" w:sz="4" w:space="0"/>
            </w:tcBorders>
            <w:vAlign w:val="center"/>
          </w:tcPr>
          <w:p w14:paraId="17D2D56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外部车辆唯一标识</w:t>
            </w:r>
          </w:p>
        </w:tc>
      </w:tr>
      <w:tr w14:paraId="07432ACD">
        <w:trPr>
          <w:jc w:val="center"/>
        </w:trPr>
        <w:tc>
          <w:tcPr>
            <w:tcW w:w="2126" w:type="dxa"/>
            <w:vAlign w:val="center"/>
          </w:tcPr>
          <w:p w14:paraId="029DA1A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carNo</w:t>
            </w:r>
          </w:p>
        </w:tc>
        <w:tc>
          <w:tcPr>
            <w:tcW w:w="2126" w:type="dxa"/>
            <w:vAlign w:val="center"/>
          </w:tcPr>
          <w:p w14:paraId="5D075E1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7C0BD86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w:t>
            </w:r>
          </w:p>
        </w:tc>
        <w:tc>
          <w:tcPr>
            <w:tcW w:w="2126" w:type="dxa"/>
            <w:vAlign w:val="center"/>
          </w:tcPr>
          <w:p w14:paraId="36A4ED2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陆运车牌或海运柜号</w:t>
            </w:r>
          </w:p>
        </w:tc>
      </w:tr>
      <w:tr w14:paraId="63BDCA4C">
        <w:trPr>
          <w:jc w:val="center"/>
        </w:trPr>
        <w:tc>
          <w:tcPr>
            <w:tcW w:w="2126" w:type="dxa"/>
            <w:vAlign w:val="center"/>
          </w:tcPr>
          <w:p w14:paraId="438EF29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driver</w:t>
            </w:r>
          </w:p>
        </w:tc>
        <w:tc>
          <w:tcPr>
            <w:tcW w:w="2126" w:type="dxa"/>
            <w:vAlign w:val="center"/>
          </w:tcPr>
          <w:p w14:paraId="387EA68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3DA3E00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w:t>
            </w:r>
          </w:p>
        </w:tc>
        <w:tc>
          <w:tcPr>
            <w:tcW w:w="2126" w:type="dxa"/>
            <w:vAlign w:val="center"/>
          </w:tcPr>
          <w:p w14:paraId="41A3517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司机或海运公司</w:t>
            </w:r>
          </w:p>
        </w:tc>
      </w:tr>
      <w:tr w14:paraId="7884AE35">
        <w:trPr>
          <w:jc w:val="center"/>
        </w:trPr>
        <w:tc>
          <w:tcPr>
            <w:tcW w:w="2126" w:type="dxa"/>
            <w:vAlign w:val="center"/>
          </w:tcPr>
          <w:p w14:paraId="64D860D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tel</w:t>
            </w:r>
          </w:p>
        </w:tc>
        <w:tc>
          <w:tcPr>
            <w:tcW w:w="2126" w:type="dxa"/>
            <w:vAlign w:val="center"/>
          </w:tcPr>
          <w:p w14:paraId="6412635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79997E9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varchar(30)</w:t>
            </w:r>
          </w:p>
        </w:tc>
        <w:tc>
          <w:tcPr>
            <w:tcW w:w="2126" w:type="dxa"/>
            <w:vAlign w:val="center"/>
          </w:tcPr>
          <w:p w14:paraId="07E4408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联系电话</w:t>
            </w:r>
          </w:p>
        </w:tc>
      </w:tr>
      <w:tr w14:paraId="7C5986CF">
        <w:trPr>
          <w:jc w:val="center"/>
        </w:trPr>
        <w:tc>
          <w:tcPr>
            <w:tcW w:w="2126" w:type="dxa"/>
            <w:vAlign w:val="center"/>
          </w:tcPr>
          <w:p w14:paraId="59B9F0C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bankName</w:t>
            </w:r>
          </w:p>
        </w:tc>
        <w:tc>
          <w:tcPr>
            <w:tcW w:w="2126" w:type="dxa"/>
            <w:vAlign w:val="center"/>
          </w:tcPr>
          <w:p w14:paraId="4A830B9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6268B68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varchar(200)</w:t>
            </w:r>
          </w:p>
        </w:tc>
        <w:tc>
          <w:tcPr>
            <w:tcW w:w="2126" w:type="dxa"/>
            <w:vAlign w:val="center"/>
          </w:tcPr>
          <w:p w14:paraId="698433C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开户行</w:t>
            </w:r>
          </w:p>
        </w:tc>
      </w:tr>
      <w:tr w14:paraId="42F23A0E">
        <w:trPr>
          <w:jc w:val="center"/>
        </w:trPr>
        <w:tc>
          <w:tcPr>
            <w:tcW w:w="2126" w:type="dxa"/>
            <w:vAlign w:val="center"/>
          </w:tcPr>
          <w:p w14:paraId="438881D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acountsName</w:t>
            </w:r>
          </w:p>
        </w:tc>
        <w:tc>
          <w:tcPr>
            <w:tcW w:w="2126" w:type="dxa"/>
            <w:vAlign w:val="center"/>
          </w:tcPr>
          <w:p w14:paraId="2EC0E00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63DB852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varchar(200)</w:t>
            </w:r>
          </w:p>
        </w:tc>
        <w:tc>
          <w:tcPr>
            <w:tcW w:w="2126" w:type="dxa"/>
            <w:vAlign w:val="center"/>
          </w:tcPr>
          <w:p w14:paraId="02F3C4E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开户名</w:t>
            </w:r>
          </w:p>
        </w:tc>
      </w:tr>
      <w:tr w14:paraId="184AD05B">
        <w:trPr>
          <w:jc w:val="center"/>
        </w:trPr>
        <w:tc>
          <w:tcPr>
            <w:tcW w:w="2126" w:type="dxa"/>
            <w:vAlign w:val="center"/>
          </w:tcPr>
          <w:p w14:paraId="1977540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bankNo</w:t>
            </w:r>
          </w:p>
        </w:tc>
        <w:tc>
          <w:tcPr>
            <w:tcW w:w="2126" w:type="dxa"/>
            <w:vAlign w:val="center"/>
          </w:tcPr>
          <w:p w14:paraId="0E68CEB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5C5FBB9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varchar(200)</w:t>
            </w:r>
          </w:p>
        </w:tc>
        <w:tc>
          <w:tcPr>
            <w:tcW w:w="2126" w:type="dxa"/>
            <w:vAlign w:val="center"/>
          </w:tcPr>
          <w:p w14:paraId="1A8C0AC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账号</w:t>
            </w:r>
          </w:p>
        </w:tc>
      </w:tr>
      <w:tr w14:paraId="7E8545EA">
        <w:trPr>
          <w:jc w:val="center"/>
        </w:trPr>
        <w:tc>
          <w:tcPr>
            <w:tcW w:w="2126" w:type="dxa"/>
            <w:vAlign w:val="center"/>
          </w:tcPr>
          <w:p w14:paraId="52D25A7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carType</w:t>
            </w:r>
          </w:p>
        </w:tc>
        <w:tc>
          <w:tcPr>
            <w:tcW w:w="2126" w:type="dxa"/>
            <w:vAlign w:val="center"/>
          </w:tcPr>
          <w:p w14:paraId="328532E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7527F6A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W w:w="2126" w:type="dxa"/>
            <w:vAlign w:val="center"/>
          </w:tcPr>
          <w:p w14:paraId="50CEDE3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运输类型</w:t>
            </w:r>
          </w:p>
        </w:tc>
      </w:tr>
      <w:tr w14:paraId="1EBC9918">
        <w:trPr>
          <w:jc w:val="center"/>
        </w:trPr>
        <w:tc>
          <w:tcPr>
            <w:tcW w:w="2126" w:type="dxa"/>
            <w:vAlign w:val="center"/>
          </w:tcPr>
          <w:p w14:paraId="7EF030F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addtime</w:t>
            </w:r>
          </w:p>
        </w:tc>
        <w:tc>
          <w:tcPr>
            <w:tcW w:w="2126" w:type="dxa"/>
            <w:vAlign w:val="center"/>
          </w:tcPr>
          <w:p w14:paraId="3A567B0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时间字段</w:t>
            </w:r>
          </w:p>
        </w:tc>
        <w:tc>
          <w:tcPr>
            <w:tcW w:w="2126" w:type="dxa"/>
            <w:vAlign w:val="center"/>
          </w:tcPr>
          <w:p w14:paraId="2770E44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datetime</w:t>
            </w:r>
          </w:p>
        </w:tc>
        <w:tc>
          <w:tcPr>
            <w:tcW w:w="2126" w:type="dxa"/>
            <w:vAlign w:val="center"/>
          </w:tcPr>
          <w:p w14:paraId="60C81C9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添加时间</w:t>
            </w:r>
          </w:p>
        </w:tc>
      </w:tr>
      <w:tr w14:paraId="4801F0E6">
        <w:trPr>
          <w:jc w:val="center"/>
        </w:trPr>
        <w:tc>
          <w:tcPr>
            <w:tcW w:w="2126" w:type="dxa"/>
            <w:vAlign w:val="center"/>
          </w:tcPr>
          <w:p w14:paraId="0DBEB21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userId</w:t>
            </w:r>
          </w:p>
        </w:tc>
        <w:tc>
          <w:tcPr>
            <w:tcW w:w="2126" w:type="dxa"/>
            <w:vAlign w:val="center"/>
          </w:tcPr>
          <w:p w14:paraId="1E7B3D6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审计字段</w:t>
            </w:r>
          </w:p>
        </w:tc>
        <w:tc>
          <w:tcPr>
            <w:tcW w:w="2126" w:type="dxa"/>
            <w:vAlign w:val="center"/>
          </w:tcPr>
          <w:p w14:paraId="29E7B51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W w:w="2126" w:type="dxa"/>
            <w:vAlign w:val="center"/>
          </w:tcPr>
          <w:p w14:paraId="4A6825E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操作人员ID</w:t>
            </w:r>
          </w:p>
        </w:tc>
      </w:tr>
      <w:tr w14:paraId="40D33031">
        <w:trPr>
          <w:jc w:val="center"/>
        </w:trPr>
        <w:tc>
          <w:tcPr>
            <w:tcW w:w="2126" w:type="dxa"/>
            <w:vAlign w:val="center"/>
          </w:tcPr>
          <w:p w14:paraId="29BDD1C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UserName</w:t>
            </w:r>
          </w:p>
        </w:tc>
        <w:tc>
          <w:tcPr>
            <w:tcW w:w="2126" w:type="dxa"/>
            <w:vAlign w:val="center"/>
          </w:tcPr>
          <w:p w14:paraId="0BBEC9C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审计字段</w:t>
            </w:r>
          </w:p>
        </w:tc>
        <w:tc>
          <w:tcPr>
            <w:tcW w:w="2126" w:type="dxa"/>
            <w:vAlign w:val="center"/>
          </w:tcPr>
          <w:p w14:paraId="73E0B25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W w:w="2126" w:type="dxa"/>
            <w:vAlign w:val="center"/>
          </w:tcPr>
          <w:p w14:paraId="674877A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操作人员姓名</w:t>
            </w:r>
          </w:p>
        </w:tc>
      </w:tr>
      <w:tr w14:paraId="3B3E121D">
        <w:trPr>
          <w:jc w:val="center"/>
        </w:trPr>
        <w:tc>
          <w:tcPr>
            <w:tcW w:w="2126" w:type="dxa"/>
            <w:vAlign w:val="center"/>
          </w:tcPr>
          <w:p w14:paraId="6A32D78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update_time</w:t>
            </w:r>
          </w:p>
        </w:tc>
        <w:tc>
          <w:tcPr>
            <w:tcW w:w="2126" w:type="dxa"/>
            <w:vAlign w:val="center"/>
          </w:tcPr>
          <w:p w14:paraId="5B30078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时间字段</w:t>
            </w:r>
          </w:p>
        </w:tc>
        <w:tc>
          <w:tcPr>
            <w:tcW w:w="2126" w:type="dxa"/>
            <w:vAlign w:val="center"/>
          </w:tcPr>
          <w:p w14:paraId="4F29A2A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datetime</w:t>
            </w:r>
          </w:p>
        </w:tc>
        <w:tc>
          <w:tcPr>
            <w:tcW w:w="2126" w:type="dxa"/>
            <w:vAlign w:val="center"/>
          </w:tcPr>
          <w:p w14:paraId="7B50551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更新时间</w:t>
            </w:r>
          </w:p>
        </w:tc>
      </w:tr>
      <w:tr w14:paraId="6146C781">
        <w:trPr>
          <w:jc w:val="center"/>
        </w:trPr>
        <w:tc>
          <w:tcPr>
            <w:tcW w:w="2126" w:type="dxa"/>
            <w:tcBorders>
              <w:bottom w:val="single" w:color="auto" w:sz="4" w:space="0"/>
            </w:tcBorders>
            <w:vAlign w:val="center"/>
          </w:tcPr>
          <w:p w14:paraId="5BF4F30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delFlag</w:t>
            </w:r>
          </w:p>
        </w:tc>
        <w:tc>
          <w:tcPr>
            <w:tcW w:w="2126" w:type="dxa"/>
            <w:tcBorders>
              <w:bottom w:val="single" w:color="auto" w:sz="4" w:space="0"/>
            </w:tcBorders>
            <w:vAlign w:val="center"/>
          </w:tcPr>
          <w:p w14:paraId="497C0FD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逻辑删除字段</w:t>
            </w:r>
          </w:p>
        </w:tc>
        <w:tc>
          <w:tcPr>
            <w:tcW w:w="2126" w:type="dxa"/>
            <w:tcBorders>
              <w:bottom w:val="single" w:color="auto" w:sz="4" w:space="0"/>
            </w:tcBorders>
            <w:vAlign w:val="center"/>
          </w:tcPr>
          <w:p w14:paraId="70C666A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int</w:t>
            </w:r>
          </w:p>
        </w:tc>
        <w:tc>
          <w:tcPr>
            <w:tcW w:w="2126" w:type="dxa"/>
            <w:tcBorders>
              <w:bottom w:val="single" w:color="auto" w:sz="4" w:space="0"/>
            </w:tcBorders>
            <w:vAlign w:val="center"/>
          </w:tcPr>
          <w:p w14:paraId="4EE46EE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删除标记</w:t>
            </w:r>
          </w:p>
        </w:tc>
      </w:tr>
    </w:tbl>
    <w:p w14:paraId="611BCE97">
      <w:r>
        <w:rPr>
          <w:rFonts w:ascii="Times New Roman" w:hAnsi="Times New Roman" w:eastAsia="宋体"/>
          <w:b w:val="0"/>
          <w:color w:val="000000"/>
          <w:sz w:val="21"/>
        </w:rPr>
        <w:t>外部车辆表维护陆运车牌和海运柜号资料，是订单、入库和运输费用登记的运输对象来源。</w:t>
      </w:r>
    </w:p>
    <w:p w14:paraId="096C63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表6-3 车队表</w:t>
      </w:r>
    </w:p>
    <w:tbl>
      <w:tblPr>
        <w:tblStyle w:val="21"/>
        <w:tblW w:w="0" w:type="auto"/>
        <w:jc w:val="center"/>
        <w:tblLayout w:type="autofit"/>
        <w:tblCellMar>
          <w:top w:w="0" w:type="dxa"/>
          <w:left w:w="108" w:type="dxa"/>
          <w:bottom w:w="0" w:type="dxa"/>
          <w:right w:w="108" w:type="dxa"/>
        </w:tblCellMar>
      </w:tblPr>
      <w:tblGrid>
        <w:gridCol w:w="2126"/>
        <w:gridCol w:w="2126"/>
        <w:gridCol w:w="2126"/>
        <w:gridCol w:w="2126"/>
      </w:tblGrid>
      <w:tr w14:paraId="68BD5194">
        <w:trPr>
          <w:jc w:val="center"/>
        </w:trPr>
        <w:tc>
          <w:tcPr>
            <w:tcW w:w="2126" w:type="dxa"/>
            <w:tcBorders>
              <w:top w:val="single" w:color="auto" w:sz="4" w:space="0"/>
              <w:bottom w:val="single" w:color="auto" w:sz="4" w:space="0"/>
            </w:tcBorders>
            <w:vAlign w:val="center"/>
          </w:tcPr>
          <w:p w14:paraId="13C0CB78">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W w:w="2126" w:type="dxa"/>
            <w:tcBorders>
              <w:top w:val="single" w:color="auto" w:sz="4" w:space="0"/>
              <w:bottom w:val="single" w:color="auto" w:sz="4" w:space="0"/>
            </w:tcBorders>
            <w:vAlign w:val="center"/>
          </w:tcPr>
          <w:p w14:paraId="526BC158">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W w:w="2126" w:type="dxa"/>
            <w:tcBorders>
              <w:top w:val="single" w:color="auto" w:sz="4" w:space="0"/>
              <w:bottom w:val="single" w:color="auto" w:sz="4" w:space="0"/>
            </w:tcBorders>
            <w:vAlign w:val="center"/>
          </w:tcPr>
          <w:p w14:paraId="543DDF41">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W w:w="2126" w:type="dxa"/>
            <w:tcBorders>
              <w:top w:val="single" w:color="auto" w:sz="4" w:space="0"/>
              <w:bottom w:val="single" w:color="auto" w:sz="4" w:space="0"/>
            </w:tcBorders>
            <w:vAlign w:val="center"/>
          </w:tcPr>
          <w:p w14:paraId="2DC449C1">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7339D6DF">
        <w:trPr>
          <w:jc w:val="center"/>
        </w:trPr>
        <w:tc>
          <w:tcPr>
            <w:tcW w:w="2126" w:type="dxa"/>
            <w:tcBorders>
              <w:top w:val="single" w:color="auto" w:sz="4" w:space="0"/>
            </w:tcBorders>
            <w:vAlign w:val="center"/>
          </w:tcPr>
          <w:p w14:paraId="5F09339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W w:w="2126" w:type="dxa"/>
            <w:tcBorders>
              <w:top w:val="single" w:color="auto" w:sz="4" w:space="0"/>
            </w:tcBorders>
            <w:vAlign w:val="center"/>
          </w:tcPr>
          <w:p w14:paraId="5FCF527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主键</w:t>
            </w:r>
          </w:p>
        </w:tc>
        <w:tc>
          <w:tcPr>
            <w:tcW w:w="2126" w:type="dxa"/>
            <w:tcBorders>
              <w:top w:val="single" w:color="auto" w:sz="4" w:space="0"/>
            </w:tcBorders>
            <w:vAlign w:val="center"/>
          </w:tcPr>
          <w:p w14:paraId="7C382AA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W w:w="2126" w:type="dxa"/>
            <w:tcBorders>
              <w:top w:val="single" w:color="auto" w:sz="4" w:space="0"/>
            </w:tcBorders>
            <w:vAlign w:val="center"/>
          </w:tcPr>
          <w:p w14:paraId="441FD79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车队唯一标识</w:t>
            </w:r>
          </w:p>
        </w:tc>
      </w:tr>
      <w:tr w14:paraId="4B980D9A">
        <w:trPr>
          <w:jc w:val="center"/>
        </w:trPr>
        <w:tc>
          <w:tcPr>
            <w:tcW w:w="2126" w:type="dxa"/>
            <w:vAlign w:val="center"/>
          </w:tcPr>
          <w:p w14:paraId="12CD50D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fName</w:t>
            </w:r>
          </w:p>
        </w:tc>
        <w:tc>
          <w:tcPr>
            <w:tcW w:w="2126" w:type="dxa"/>
            <w:vAlign w:val="center"/>
          </w:tcPr>
          <w:p w14:paraId="47482FE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7EE7D3D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W w:w="2126" w:type="dxa"/>
            <w:vAlign w:val="center"/>
          </w:tcPr>
          <w:p w14:paraId="71447A5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车队名称</w:t>
            </w:r>
          </w:p>
        </w:tc>
      </w:tr>
      <w:tr w14:paraId="1587C191">
        <w:trPr>
          <w:jc w:val="center"/>
        </w:trPr>
        <w:tc>
          <w:tcPr>
            <w:tcW w:w="2126" w:type="dxa"/>
            <w:vAlign w:val="center"/>
          </w:tcPr>
          <w:p w14:paraId="01983A4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fLeader</w:t>
            </w:r>
          </w:p>
        </w:tc>
        <w:tc>
          <w:tcPr>
            <w:tcW w:w="2126" w:type="dxa"/>
            <w:vAlign w:val="center"/>
          </w:tcPr>
          <w:p w14:paraId="33E386F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24D8A70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W w:w="2126" w:type="dxa"/>
            <w:vAlign w:val="center"/>
          </w:tcPr>
          <w:p w14:paraId="74A0ABD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车队经理</w:t>
            </w:r>
          </w:p>
        </w:tc>
      </w:tr>
      <w:tr w14:paraId="25CD7DC0">
        <w:trPr>
          <w:jc w:val="center"/>
        </w:trPr>
        <w:tc>
          <w:tcPr>
            <w:tcW w:w="2126" w:type="dxa"/>
            <w:vAlign w:val="center"/>
          </w:tcPr>
          <w:p w14:paraId="17E1946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tel</w:t>
            </w:r>
          </w:p>
        </w:tc>
        <w:tc>
          <w:tcPr>
            <w:tcW w:w="2126" w:type="dxa"/>
            <w:vAlign w:val="center"/>
          </w:tcPr>
          <w:p w14:paraId="76457FB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4931D8B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varchar(30)</w:t>
            </w:r>
          </w:p>
        </w:tc>
        <w:tc>
          <w:tcPr>
            <w:tcW w:w="2126" w:type="dxa"/>
            <w:vAlign w:val="center"/>
          </w:tcPr>
          <w:p w14:paraId="54217F3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车队经理电话</w:t>
            </w:r>
          </w:p>
        </w:tc>
      </w:tr>
      <w:tr w14:paraId="3484EAA8">
        <w:trPr>
          <w:jc w:val="center"/>
        </w:trPr>
        <w:tc>
          <w:tcPr>
            <w:tcW w:w="2126" w:type="dxa"/>
            <w:vAlign w:val="center"/>
          </w:tcPr>
          <w:p w14:paraId="32B79F9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address</w:t>
            </w:r>
          </w:p>
        </w:tc>
        <w:tc>
          <w:tcPr>
            <w:tcW w:w="2126" w:type="dxa"/>
            <w:vAlign w:val="center"/>
          </w:tcPr>
          <w:p w14:paraId="20FF191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4CAB1F3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varchar(250)</w:t>
            </w:r>
          </w:p>
        </w:tc>
        <w:tc>
          <w:tcPr>
            <w:tcW w:w="2126" w:type="dxa"/>
            <w:vAlign w:val="center"/>
          </w:tcPr>
          <w:p w14:paraId="296F5CC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地址</w:t>
            </w:r>
          </w:p>
        </w:tc>
      </w:tr>
      <w:tr w14:paraId="33BB757C">
        <w:trPr>
          <w:jc w:val="center"/>
        </w:trPr>
        <w:tc>
          <w:tcPr>
            <w:tcW w:w="2126" w:type="dxa"/>
            <w:vAlign w:val="center"/>
          </w:tcPr>
          <w:p w14:paraId="1DFE502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addtime</w:t>
            </w:r>
          </w:p>
        </w:tc>
        <w:tc>
          <w:tcPr>
            <w:tcW w:w="2126" w:type="dxa"/>
            <w:vAlign w:val="center"/>
          </w:tcPr>
          <w:p w14:paraId="01CB49B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时间字段</w:t>
            </w:r>
          </w:p>
        </w:tc>
        <w:tc>
          <w:tcPr>
            <w:tcW w:w="2126" w:type="dxa"/>
            <w:vAlign w:val="center"/>
          </w:tcPr>
          <w:p w14:paraId="2D26CF4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datetime</w:t>
            </w:r>
          </w:p>
        </w:tc>
        <w:tc>
          <w:tcPr>
            <w:tcW w:w="2126" w:type="dxa"/>
            <w:vAlign w:val="center"/>
          </w:tcPr>
          <w:p w14:paraId="6127DB7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添加时间</w:t>
            </w:r>
          </w:p>
        </w:tc>
      </w:tr>
      <w:tr w14:paraId="7AFF43EA">
        <w:trPr>
          <w:jc w:val="center"/>
        </w:trPr>
        <w:tc>
          <w:tcPr>
            <w:tcW w:w="2126" w:type="dxa"/>
            <w:vAlign w:val="center"/>
          </w:tcPr>
          <w:p w14:paraId="66022DA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editTime</w:t>
            </w:r>
          </w:p>
        </w:tc>
        <w:tc>
          <w:tcPr>
            <w:tcW w:w="2126" w:type="dxa"/>
            <w:vAlign w:val="center"/>
          </w:tcPr>
          <w:p w14:paraId="7F7DBB8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时间字段</w:t>
            </w:r>
          </w:p>
        </w:tc>
        <w:tc>
          <w:tcPr>
            <w:tcW w:w="2126" w:type="dxa"/>
            <w:vAlign w:val="center"/>
          </w:tcPr>
          <w:p w14:paraId="21783A0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datetime</w:t>
            </w:r>
          </w:p>
        </w:tc>
        <w:tc>
          <w:tcPr>
            <w:tcW w:w="2126" w:type="dxa"/>
            <w:vAlign w:val="center"/>
          </w:tcPr>
          <w:p w14:paraId="7A87002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编辑时间</w:t>
            </w:r>
          </w:p>
        </w:tc>
      </w:tr>
      <w:tr w14:paraId="6510A15A">
        <w:trPr>
          <w:jc w:val="center"/>
        </w:trPr>
        <w:tc>
          <w:tcPr>
            <w:tcW w:w="2126" w:type="dxa"/>
            <w:tcBorders>
              <w:bottom w:val="single" w:color="auto" w:sz="4" w:space="0"/>
            </w:tcBorders>
            <w:vAlign w:val="center"/>
          </w:tcPr>
          <w:p w14:paraId="18FB371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delFlag</w:t>
            </w:r>
          </w:p>
        </w:tc>
        <w:tc>
          <w:tcPr>
            <w:tcW w:w="2126" w:type="dxa"/>
            <w:tcBorders>
              <w:bottom w:val="single" w:color="auto" w:sz="4" w:space="0"/>
            </w:tcBorders>
            <w:vAlign w:val="center"/>
          </w:tcPr>
          <w:p w14:paraId="6444A39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逻辑删除字段</w:t>
            </w:r>
          </w:p>
        </w:tc>
        <w:tc>
          <w:tcPr>
            <w:tcW w:w="2126" w:type="dxa"/>
            <w:tcBorders>
              <w:bottom w:val="single" w:color="auto" w:sz="4" w:space="0"/>
            </w:tcBorders>
            <w:vAlign w:val="center"/>
          </w:tcPr>
          <w:p w14:paraId="5A0DC9C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int</w:t>
            </w:r>
          </w:p>
        </w:tc>
        <w:tc>
          <w:tcPr>
            <w:tcW w:w="2126" w:type="dxa"/>
            <w:tcBorders>
              <w:bottom w:val="single" w:color="auto" w:sz="4" w:space="0"/>
            </w:tcBorders>
            <w:vAlign w:val="center"/>
          </w:tcPr>
          <w:p w14:paraId="4A536AC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删除标记</w:t>
            </w:r>
          </w:p>
        </w:tc>
      </w:tr>
    </w:tbl>
    <w:p w14:paraId="5C57255E">
      <w:r>
        <w:rPr>
          <w:rFonts w:ascii="Times New Roman" w:hAnsi="Times New Roman" w:eastAsia="宋体"/>
          <w:b w:val="0"/>
          <w:color w:val="000000"/>
          <w:sz w:val="21"/>
        </w:rPr>
        <w:t>车队表用于维护承运组织资料，辅助运输履约和运费统计按车队口径归集。</w:t>
      </w:r>
    </w:p>
    <w:p w14:paraId="1EEBA6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表6-4 科目表</w:t>
      </w:r>
    </w:p>
    <w:tbl>
      <w:tblPr>
        <w:tblStyle w:val="21"/>
        <w:tblW w:w="0" w:type="auto"/>
        <w:jc w:val="center"/>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26"/>
        <w:gridCol w:w="2126"/>
        <w:gridCol w:w="2126"/>
        <w:gridCol w:w="2126"/>
      </w:tblGrid>
      <w:tr w14:paraId="7B6E8565">
        <w:trPr>
          <w:jc w:val="center"/>
        </w:trPr>
        <w:tc>
          <w:tcPr>
            <w:tcW w:w="2126" w:type="dxa"/>
            <w:tcBorders>
              <w:bottom w:val="single" w:color="auto" w:sz="4" w:space="0"/>
            </w:tcBorders>
            <w:vAlign w:val="center"/>
          </w:tcPr>
          <w:p w14:paraId="1C297C89">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W w:w="2126" w:type="dxa"/>
            <w:tcBorders>
              <w:bottom w:val="single" w:color="auto" w:sz="4" w:space="0"/>
            </w:tcBorders>
            <w:vAlign w:val="center"/>
          </w:tcPr>
          <w:p w14:paraId="682729B4">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W w:w="2126" w:type="dxa"/>
            <w:tcBorders>
              <w:bottom w:val="single" w:color="auto" w:sz="4" w:space="0"/>
            </w:tcBorders>
            <w:vAlign w:val="center"/>
          </w:tcPr>
          <w:p w14:paraId="0AD7D7B1">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W w:w="2126" w:type="dxa"/>
            <w:tcBorders>
              <w:bottom w:val="single" w:color="auto" w:sz="4" w:space="0"/>
            </w:tcBorders>
            <w:vAlign w:val="center"/>
          </w:tcPr>
          <w:p w14:paraId="34102E9D">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29C98F13">
        <w:trPr>
          <w:jc w:val="center"/>
        </w:trPr>
        <w:tc>
          <w:tcPr>
            <w:tcW w:w="2126" w:type="dxa"/>
            <w:tcBorders>
              <w:top w:val="single" w:color="auto" w:sz="4" w:space="0"/>
            </w:tcBorders>
            <w:vAlign w:val="center"/>
          </w:tcPr>
          <w:p w14:paraId="3DB80E6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W w:w="2126" w:type="dxa"/>
            <w:tcBorders>
              <w:top w:val="single" w:color="auto" w:sz="4" w:space="0"/>
            </w:tcBorders>
            <w:vAlign w:val="center"/>
          </w:tcPr>
          <w:p w14:paraId="15F8454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主键</w:t>
            </w:r>
          </w:p>
        </w:tc>
        <w:tc>
          <w:tcPr>
            <w:tcW w:w="2126" w:type="dxa"/>
            <w:tcBorders>
              <w:top w:val="single" w:color="auto" w:sz="4" w:space="0"/>
            </w:tcBorders>
            <w:vAlign w:val="center"/>
          </w:tcPr>
          <w:p w14:paraId="484F631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W w:w="2126" w:type="dxa"/>
            <w:tcBorders>
              <w:top w:val="single" w:color="auto" w:sz="4" w:space="0"/>
            </w:tcBorders>
            <w:vAlign w:val="center"/>
          </w:tcPr>
          <w:p w14:paraId="707D7D1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科目唯一标识</w:t>
            </w:r>
          </w:p>
        </w:tc>
      </w:tr>
      <w:tr w14:paraId="47796974">
        <w:trPr>
          <w:jc w:val="center"/>
        </w:trPr>
        <w:tc>
          <w:tcPr>
            <w:tcW w:w="2126" w:type="dxa"/>
            <w:vAlign w:val="center"/>
          </w:tcPr>
          <w:p w14:paraId="13ACD63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title</w:t>
            </w:r>
          </w:p>
        </w:tc>
        <w:tc>
          <w:tcPr>
            <w:tcW w:w="2126" w:type="dxa"/>
            <w:vAlign w:val="center"/>
          </w:tcPr>
          <w:p w14:paraId="34BDAA5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3FC7B38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W w:w="2126" w:type="dxa"/>
            <w:vAlign w:val="center"/>
          </w:tcPr>
          <w:p w14:paraId="23FDF4B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科目名称</w:t>
            </w:r>
          </w:p>
        </w:tc>
      </w:tr>
      <w:tr w14:paraId="0B24024B">
        <w:trPr>
          <w:jc w:val="center"/>
        </w:trPr>
        <w:tc>
          <w:tcPr>
            <w:tcW w:w="2126" w:type="dxa"/>
            <w:vAlign w:val="center"/>
          </w:tcPr>
          <w:p w14:paraId="5F852A8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type</w:t>
            </w:r>
          </w:p>
        </w:tc>
        <w:tc>
          <w:tcPr>
            <w:tcW w:w="2126" w:type="dxa"/>
            <w:vAlign w:val="center"/>
          </w:tcPr>
          <w:p w14:paraId="37F66E0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73D48B2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W w:w="2126" w:type="dxa"/>
            <w:vAlign w:val="center"/>
          </w:tcPr>
          <w:p w14:paraId="1DD8006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科目类别</w:t>
            </w:r>
          </w:p>
        </w:tc>
      </w:tr>
      <w:tr w14:paraId="36863E3D">
        <w:trPr>
          <w:jc w:val="center"/>
        </w:trPr>
        <w:tc>
          <w:tcPr>
            <w:tcW w:w="2126" w:type="dxa"/>
            <w:vAlign w:val="center"/>
          </w:tcPr>
          <w:p w14:paraId="747029E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subjectNo</w:t>
            </w:r>
          </w:p>
        </w:tc>
        <w:tc>
          <w:tcPr>
            <w:tcW w:w="2126" w:type="dxa"/>
            <w:vAlign w:val="center"/>
          </w:tcPr>
          <w:p w14:paraId="7837131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432BADF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W w:w="2126" w:type="dxa"/>
            <w:vAlign w:val="center"/>
          </w:tcPr>
          <w:p w14:paraId="70F3DDD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科目编号</w:t>
            </w:r>
          </w:p>
        </w:tc>
      </w:tr>
      <w:tr w14:paraId="5687F155">
        <w:trPr>
          <w:jc w:val="center"/>
        </w:trPr>
        <w:tc>
          <w:tcPr>
            <w:tcW w:w="2126" w:type="dxa"/>
            <w:vAlign w:val="center"/>
          </w:tcPr>
          <w:p w14:paraId="57C4716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parent_id</w:t>
            </w:r>
          </w:p>
        </w:tc>
        <w:tc>
          <w:tcPr>
            <w:tcW w:w="2126" w:type="dxa"/>
            <w:vAlign w:val="center"/>
          </w:tcPr>
          <w:p w14:paraId="28039E5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层级字段</w:t>
            </w:r>
          </w:p>
        </w:tc>
        <w:tc>
          <w:tcPr>
            <w:tcW w:w="2126" w:type="dxa"/>
            <w:vAlign w:val="center"/>
          </w:tcPr>
          <w:p w14:paraId="0F386F1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W w:w="2126" w:type="dxa"/>
            <w:vAlign w:val="center"/>
          </w:tcPr>
          <w:p w14:paraId="5209FE9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父级科目ID</w:t>
            </w:r>
          </w:p>
        </w:tc>
      </w:tr>
      <w:tr w14:paraId="2F6AC930">
        <w:trPr>
          <w:jc w:val="center"/>
        </w:trPr>
        <w:tc>
          <w:tcPr>
            <w:tcW w:w="2126" w:type="dxa"/>
            <w:vAlign w:val="center"/>
          </w:tcPr>
          <w:p w14:paraId="6456F40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order_num</w:t>
            </w:r>
          </w:p>
        </w:tc>
        <w:tc>
          <w:tcPr>
            <w:tcW w:w="2126" w:type="dxa"/>
            <w:vAlign w:val="center"/>
          </w:tcPr>
          <w:p w14:paraId="456C05D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排序字段</w:t>
            </w:r>
          </w:p>
        </w:tc>
        <w:tc>
          <w:tcPr>
            <w:tcW w:w="2126" w:type="dxa"/>
            <w:vAlign w:val="center"/>
          </w:tcPr>
          <w:p w14:paraId="50B411D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int</w:t>
            </w:r>
          </w:p>
        </w:tc>
        <w:tc>
          <w:tcPr>
            <w:tcW w:w="2126" w:type="dxa"/>
            <w:vAlign w:val="center"/>
          </w:tcPr>
          <w:p w14:paraId="2500C2C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显示顺序</w:t>
            </w:r>
          </w:p>
        </w:tc>
      </w:tr>
      <w:tr w14:paraId="6279DFF1">
        <w:trPr>
          <w:jc w:val="center"/>
        </w:trPr>
        <w:tc>
          <w:tcPr>
            <w:tcW w:w="2126" w:type="dxa"/>
            <w:vAlign w:val="center"/>
          </w:tcPr>
          <w:p w14:paraId="7A074BF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STATUS</w:t>
            </w:r>
          </w:p>
        </w:tc>
        <w:tc>
          <w:tcPr>
            <w:tcW w:w="2126" w:type="dxa"/>
            <w:vAlign w:val="center"/>
          </w:tcPr>
          <w:p w14:paraId="25044CD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状态字段</w:t>
            </w:r>
          </w:p>
        </w:tc>
        <w:tc>
          <w:tcPr>
            <w:tcW w:w="2126" w:type="dxa"/>
            <w:vAlign w:val="center"/>
          </w:tcPr>
          <w:p w14:paraId="0AC840A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char</w:t>
            </w:r>
          </w:p>
        </w:tc>
        <w:tc>
          <w:tcPr>
            <w:tcW w:w="2126" w:type="dxa"/>
            <w:vAlign w:val="center"/>
          </w:tcPr>
          <w:p w14:paraId="0075E4B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启停状态</w:t>
            </w:r>
          </w:p>
        </w:tc>
      </w:tr>
      <w:tr w14:paraId="0550B3BE">
        <w:trPr>
          <w:jc w:val="center"/>
        </w:trPr>
        <w:tc>
          <w:tcPr>
            <w:tcW w:w="2126" w:type="dxa"/>
            <w:vAlign w:val="center"/>
          </w:tcPr>
          <w:p w14:paraId="61C899D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create_by</w:t>
            </w:r>
          </w:p>
        </w:tc>
        <w:tc>
          <w:tcPr>
            <w:tcW w:w="2126" w:type="dxa"/>
            <w:vAlign w:val="center"/>
          </w:tcPr>
          <w:p w14:paraId="353376C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审计字段</w:t>
            </w:r>
          </w:p>
        </w:tc>
        <w:tc>
          <w:tcPr>
            <w:tcW w:w="2126" w:type="dxa"/>
            <w:vAlign w:val="center"/>
          </w:tcPr>
          <w:p w14:paraId="4041DE0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varchar(64)</w:t>
            </w:r>
          </w:p>
        </w:tc>
        <w:tc>
          <w:tcPr>
            <w:tcW w:w="2126" w:type="dxa"/>
            <w:vAlign w:val="center"/>
          </w:tcPr>
          <w:p w14:paraId="2193912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创建者</w:t>
            </w:r>
          </w:p>
        </w:tc>
      </w:tr>
      <w:tr w14:paraId="3B1155E3">
        <w:trPr>
          <w:jc w:val="center"/>
        </w:trPr>
        <w:tc>
          <w:tcPr>
            <w:tcW w:w="2126" w:type="dxa"/>
            <w:vAlign w:val="center"/>
          </w:tcPr>
          <w:p w14:paraId="2C7AE28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create_time</w:t>
            </w:r>
          </w:p>
        </w:tc>
        <w:tc>
          <w:tcPr>
            <w:tcW w:w="2126" w:type="dxa"/>
            <w:vAlign w:val="center"/>
          </w:tcPr>
          <w:p w14:paraId="510CA17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时间字段</w:t>
            </w:r>
          </w:p>
        </w:tc>
        <w:tc>
          <w:tcPr>
            <w:tcW w:w="2126" w:type="dxa"/>
            <w:vAlign w:val="center"/>
          </w:tcPr>
          <w:p w14:paraId="033AF7C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datetime</w:t>
            </w:r>
          </w:p>
        </w:tc>
        <w:tc>
          <w:tcPr>
            <w:tcW w:w="2126" w:type="dxa"/>
            <w:vAlign w:val="center"/>
          </w:tcPr>
          <w:p w14:paraId="5E28305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创建时间</w:t>
            </w:r>
          </w:p>
        </w:tc>
      </w:tr>
      <w:tr w14:paraId="1D319162">
        <w:trPr>
          <w:jc w:val="center"/>
        </w:trPr>
        <w:tc>
          <w:tcPr>
            <w:tcW w:w="2126" w:type="dxa"/>
            <w:vAlign w:val="center"/>
          </w:tcPr>
          <w:p w14:paraId="7F4793A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update_by</w:t>
            </w:r>
          </w:p>
        </w:tc>
        <w:tc>
          <w:tcPr>
            <w:tcW w:w="2126" w:type="dxa"/>
            <w:vAlign w:val="center"/>
          </w:tcPr>
          <w:p w14:paraId="082C04F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审计字段</w:t>
            </w:r>
          </w:p>
        </w:tc>
        <w:tc>
          <w:tcPr>
            <w:tcW w:w="2126" w:type="dxa"/>
            <w:vAlign w:val="center"/>
          </w:tcPr>
          <w:p w14:paraId="35A02D9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varchar(64)</w:t>
            </w:r>
          </w:p>
        </w:tc>
        <w:tc>
          <w:tcPr>
            <w:tcW w:w="2126" w:type="dxa"/>
            <w:vAlign w:val="center"/>
          </w:tcPr>
          <w:p w14:paraId="68EF5EC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更新者</w:t>
            </w:r>
          </w:p>
        </w:tc>
      </w:tr>
      <w:tr w14:paraId="7720FCEA">
        <w:trPr>
          <w:jc w:val="center"/>
        </w:trPr>
        <w:tc>
          <w:tcPr>
            <w:tcW w:w="2126" w:type="dxa"/>
            <w:vAlign w:val="center"/>
          </w:tcPr>
          <w:p w14:paraId="4A15D2F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update_time</w:t>
            </w:r>
          </w:p>
        </w:tc>
        <w:tc>
          <w:tcPr>
            <w:tcW w:w="2126" w:type="dxa"/>
            <w:vAlign w:val="center"/>
          </w:tcPr>
          <w:p w14:paraId="0D73A67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时间字段</w:t>
            </w:r>
          </w:p>
        </w:tc>
        <w:tc>
          <w:tcPr>
            <w:tcW w:w="2126" w:type="dxa"/>
            <w:vAlign w:val="center"/>
          </w:tcPr>
          <w:p w14:paraId="71CDB02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datetime</w:t>
            </w:r>
          </w:p>
        </w:tc>
        <w:tc>
          <w:tcPr>
            <w:tcW w:w="2126" w:type="dxa"/>
            <w:vAlign w:val="center"/>
          </w:tcPr>
          <w:p w14:paraId="4523A26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更新时间</w:t>
            </w:r>
          </w:p>
        </w:tc>
      </w:tr>
      <w:tr w14:paraId="1354CC11">
        <w:trPr>
          <w:jc w:val="center"/>
        </w:trPr>
        <w:tc>
          <w:tcPr>
            <w:tcW w:w="2126" w:type="dxa"/>
            <w:vAlign w:val="center"/>
          </w:tcPr>
          <w:p w14:paraId="3721F88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remark</w:t>
            </w:r>
          </w:p>
        </w:tc>
        <w:tc>
          <w:tcPr>
            <w:tcW w:w="2126" w:type="dxa"/>
            <w:vAlign w:val="center"/>
          </w:tcPr>
          <w:p w14:paraId="3A67ACA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备注字段</w:t>
            </w:r>
          </w:p>
        </w:tc>
        <w:tc>
          <w:tcPr>
            <w:tcW w:w="2126" w:type="dxa"/>
            <w:vAlign w:val="center"/>
          </w:tcPr>
          <w:p w14:paraId="7130EA0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varchar(500)</w:t>
            </w:r>
          </w:p>
        </w:tc>
        <w:tc>
          <w:tcPr>
            <w:tcW w:w="2126" w:type="dxa"/>
            <w:vAlign w:val="center"/>
          </w:tcPr>
          <w:p w14:paraId="10CE9E3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备注</w:t>
            </w:r>
          </w:p>
        </w:tc>
      </w:tr>
    </w:tbl>
    <w:p w14:paraId="7285BE75">
      <w:r>
        <w:rPr>
          <w:rFonts w:ascii="Times New Roman" w:hAnsi="Times New Roman" w:eastAsia="宋体"/>
          <w:b w:val="0"/>
          <w:color w:val="000000"/>
          <w:sz w:val="21"/>
        </w:rPr>
        <w:t>科目表维护资金和费用处理中的分类口径，支持父子科目结构和状态控制。</w:t>
      </w:r>
    </w:p>
    <w:p w14:paraId="0EBDCB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表6-5 公司车辆表</w:t>
      </w:r>
    </w:p>
    <w:tbl>
      <w:tblPr>
        <w:tblStyle w:val="21"/>
        <w:tblW w:w="0" w:type="auto"/>
        <w:jc w:val="center"/>
        <w:tblLayout w:type="autofit"/>
        <w:tblCellMar>
          <w:top w:w="0" w:type="dxa"/>
          <w:left w:w="108" w:type="dxa"/>
          <w:bottom w:w="0" w:type="dxa"/>
          <w:right w:w="108" w:type="dxa"/>
        </w:tblCellMar>
      </w:tblPr>
      <w:tblGrid>
        <w:gridCol w:w="2126"/>
        <w:gridCol w:w="2126"/>
        <w:gridCol w:w="2126"/>
        <w:gridCol w:w="2126"/>
      </w:tblGrid>
      <w:tr w14:paraId="4EDFC230">
        <w:trPr>
          <w:jc w:val="center"/>
        </w:trPr>
        <w:tc>
          <w:tcPr>
            <w:tcW w:w="2126" w:type="dxa"/>
            <w:tcBorders>
              <w:top w:val="single" w:color="auto" w:sz="4" w:space="0"/>
              <w:bottom w:val="single" w:color="auto" w:sz="4" w:space="0"/>
            </w:tcBorders>
            <w:vAlign w:val="center"/>
          </w:tcPr>
          <w:p w14:paraId="05307BFE">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W w:w="2126" w:type="dxa"/>
            <w:tcBorders>
              <w:top w:val="single" w:color="auto" w:sz="4" w:space="0"/>
              <w:bottom w:val="single" w:color="auto" w:sz="4" w:space="0"/>
            </w:tcBorders>
            <w:vAlign w:val="center"/>
          </w:tcPr>
          <w:p w14:paraId="6731E393">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W w:w="2126" w:type="dxa"/>
            <w:tcBorders>
              <w:top w:val="single" w:color="auto" w:sz="4" w:space="0"/>
              <w:bottom w:val="single" w:color="auto" w:sz="4" w:space="0"/>
            </w:tcBorders>
            <w:vAlign w:val="center"/>
          </w:tcPr>
          <w:p w14:paraId="615C2BFF">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W w:w="2126" w:type="dxa"/>
            <w:tcBorders>
              <w:top w:val="single" w:color="auto" w:sz="4" w:space="0"/>
              <w:bottom w:val="single" w:color="auto" w:sz="4" w:space="0"/>
            </w:tcBorders>
            <w:vAlign w:val="center"/>
          </w:tcPr>
          <w:p w14:paraId="6902C401">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68ED9358">
        <w:trPr>
          <w:jc w:val="center"/>
        </w:trPr>
        <w:tc>
          <w:tcPr>
            <w:tcW w:w="2126" w:type="dxa"/>
            <w:tcBorders>
              <w:top w:val="single" w:color="auto" w:sz="4" w:space="0"/>
            </w:tcBorders>
            <w:vAlign w:val="center"/>
          </w:tcPr>
          <w:p w14:paraId="524430C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W w:w="2126" w:type="dxa"/>
            <w:tcBorders>
              <w:top w:val="single" w:color="auto" w:sz="4" w:space="0"/>
            </w:tcBorders>
            <w:vAlign w:val="center"/>
          </w:tcPr>
          <w:p w14:paraId="786E30D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主键</w:t>
            </w:r>
          </w:p>
        </w:tc>
        <w:tc>
          <w:tcPr>
            <w:tcW w:w="2126" w:type="dxa"/>
            <w:tcBorders>
              <w:top w:val="single" w:color="auto" w:sz="4" w:space="0"/>
            </w:tcBorders>
            <w:vAlign w:val="center"/>
          </w:tcPr>
          <w:p w14:paraId="65C7925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W w:w="2126" w:type="dxa"/>
            <w:tcBorders>
              <w:top w:val="single" w:color="auto" w:sz="4" w:space="0"/>
            </w:tcBorders>
            <w:vAlign w:val="center"/>
          </w:tcPr>
          <w:p w14:paraId="04E7E6D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公司车辆唯一标识</w:t>
            </w:r>
          </w:p>
        </w:tc>
      </w:tr>
      <w:tr w14:paraId="0172185C">
        <w:trPr>
          <w:jc w:val="center"/>
        </w:trPr>
        <w:tc>
          <w:tcPr>
            <w:tcW w:w="2126" w:type="dxa"/>
            <w:vAlign w:val="center"/>
          </w:tcPr>
          <w:p w14:paraId="77905E1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model</w:t>
            </w:r>
          </w:p>
        </w:tc>
        <w:tc>
          <w:tcPr>
            <w:tcW w:w="2126" w:type="dxa"/>
            <w:vAlign w:val="center"/>
          </w:tcPr>
          <w:p w14:paraId="68C288D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4088D8A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W w:w="2126" w:type="dxa"/>
            <w:vAlign w:val="center"/>
          </w:tcPr>
          <w:p w14:paraId="08AFC2A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车辆型号</w:t>
            </w:r>
          </w:p>
        </w:tc>
      </w:tr>
      <w:tr w14:paraId="579F63AE">
        <w:trPr>
          <w:jc w:val="center"/>
        </w:trPr>
        <w:tc>
          <w:tcPr>
            <w:tcW w:w="2126" w:type="dxa"/>
            <w:vAlign w:val="center"/>
          </w:tcPr>
          <w:p w14:paraId="425AC2C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license_plate</w:t>
            </w:r>
          </w:p>
        </w:tc>
        <w:tc>
          <w:tcPr>
            <w:tcW w:w="2126" w:type="dxa"/>
            <w:vAlign w:val="center"/>
          </w:tcPr>
          <w:p w14:paraId="5B8EDD1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tcW w:w="2126" w:type="dxa"/>
            <w:vAlign w:val="center"/>
          </w:tcPr>
          <w:p w14:paraId="14159AA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varchar(20)</w:t>
            </w:r>
          </w:p>
        </w:tc>
        <w:tc>
          <w:tcPr>
            <w:tcW w:w="2126" w:type="dxa"/>
            <w:vAlign w:val="center"/>
          </w:tcPr>
          <w:p w14:paraId="2B1D561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车牌号</w:t>
            </w:r>
          </w:p>
        </w:tc>
      </w:tr>
      <w:tr w14:paraId="1EB27C65">
        <w:trPr>
          <w:jc w:val="center"/>
        </w:trPr>
        <w:tc>
          <w:tcPr>
            <w:tcW w:w="2126" w:type="dxa"/>
            <w:vAlign w:val="center"/>
          </w:tcPr>
          <w:p w14:paraId="7CD7DA9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purchase_date</w:t>
            </w:r>
          </w:p>
        </w:tc>
        <w:tc>
          <w:tcPr>
            <w:tcW w:w="2126" w:type="dxa"/>
            <w:vAlign w:val="center"/>
          </w:tcPr>
          <w:p w14:paraId="157116E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日期字段</w:t>
            </w:r>
          </w:p>
        </w:tc>
        <w:tc>
          <w:tcPr>
            <w:tcW w:w="2126" w:type="dxa"/>
            <w:vAlign w:val="center"/>
          </w:tcPr>
          <w:p w14:paraId="6B179FB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w:t>
            </w:r>
          </w:p>
        </w:tc>
        <w:tc>
          <w:tcPr>
            <w:tcW w:w="2126" w:type="dxa"/>
            <w:vAlign w:val="center"/>
          </w:tcPr>
          <w:p w14:paraId="13F8718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购买时间</w:t>
            </w:r>
          </w:p>
        </w:tc>
      </w:tr>
      <w:tr w14:paraId="427DFBBE">
        <w:trPr>
          <w:jc w:val="center"/>
        </w:trPr>
        <w:tc>
          <w:tcPr>
            <w:tcW w:w="2126" w:type="dxa"/>
            <w:vAlign w:val="center"/>
          </w:tcPr>
          <w:p w14:paraId="1FAC6AC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mileage</w:t>
            </w:r>
          </w:p>
        </w:tc>
        <w:tc>
          <w:tcPr>
            <w:tcW w:w="2126" w:type="dxa"/>
            <w:vAlign w:val="center"/>
          </w:tcPr>
          <w:p w14:paraId="12CC396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数值字段</w:t>
            </w:r>
          </w:p>
        </w:tc>
        <w:tc>
          <w:tcPr>
            <w:tcW w:w="2126" w:type="dxa"/>
            <w:vAlign w:val="center"/>
          </w:tcPr>
          <w:p w14:paraId="03F393B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decimal(28,8)</w:t>
            </w:r>
          </w:p>
        </w:tc>
        <w:tc>
          <w:tcPr>
            <w:tcW w:w="2126" w:type="dxa"/>
            <w:vAlign w:val="center"/>
          </w:tcPr>
          <w:p w14:paraId="1D2BC4C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行驶里程</w:t>
            </w:r>
          </w:p>
        </w:tc>
      </w:tr>
      <w:tr w14:paraId="37B3BE85">
        <w:trPr>
          <w:jc w:val="center"/>
        </w:trPr>
        <w:tc>
          <w:tcPr>
            <w:tcW w:w="2126" w:type="dxa"/>
            <w:vAlign w:val="center"/>
          </w:tcPr>
          <w:p w14:paraId="46DAFCB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maintenance_cost</w:t>
            </w:r>
          </w:p>
        </w:tc>
        <w:tc>
          <w:tcPr>
            <w:tcW w:w="2126" w:type="dxa"/>
            <w:vAlign w:val="center"/>
          </w:tcPr>
          <w:p w14:paraId="4749A49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金额字段</w:t>
            </w:r>
          </w:p>
        </w:tc>
        <w:tc>
          <w:tcPr>
            <w:tcW w:w="2126" w:type="dxa"/>
            <w:vAlign w:val="center"/>
          </w:tcPr>
          <w:p w14:paraId="1A4A187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decimal(28,8)</w:t>
            </w:r>
          </w:p>
        </w:tc>
        <w:tc>
          <w:tcPr>
            <w:tcW w:w="2126" w:type="dxa"/>
            <w:vAlign w:val="center"/>
          </w:tcPr>
          <w:p w14:paraId="589E74F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保养金额</w:t>
            </w:r>
          </w:p>
        </w:tc>
      </w:tr>
      <w:tr w14:paraId="777ED761">
        <w:trPr>
          <w:jc w:val="center"/>
        </w:trPr>
        <w:tc>
          <w:tcPr>
            <w:tcW w:w="2126" w:type="dxa"/>
            <w:vAlign w:val="center"/>
          </w:tcPr>
          <w:p w14:paraId="59A0E63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maintenance_date</w:t>
            </w:r>
          </w:p>
        </w:tc>
        <w:tc>
          <w:tcPr>
            <w:tcW w:w="2126" w:type="dxa"/>
            <w:vAlign w:val="center"/>
          </w:tcPr>
          <w:p w14:paraId="4D023FC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日期字段</w:t>
            </w:r>
          </w:p>
        </w:tc>
        <w:tc>
          <w:tcPr>
            <w:tcW w:w="2126" w:type="dxa"/>
            <w:vAlign w:val="center"/>
          </w:tcPr>
          <w:p w14:paraId="64EF400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w:t>
            </w:r>
          </w:p>
        </w:tc>
        <w:tc>
          <w:tcPr>
            <w:tcW w:w="2126" w:type="dxa"/>
            <w:vAlign w:val="center"/>
          </w:tcPr>
          <w:p w14:paraId="277618B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保养日期</w:t>
            </w:r>
          </w:p>
        </w:tc>
      </w:tr>
      <w:tr w14:paraId="09D8F464">
        <w:trPr>
          <w:jc w:val="center"/>
        </w:trPr>
        <w:tc>
          <w:tcPr>
            <w:tcW w:w="2126" w:type="dxa"/>
            <w:vAlign w:val="center"/>
          </w:tcPr>
          <w:p w14:paraId="5D7C59E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insurance_cost</w:t>
            </w:r>
          </w:p>
        </w:tc>
        <w:tc>
          <w:tcPr>
            <w:tcW w:w="2126" w:type="dxa"/>
            <w:vAlign w:val="center"/>
          </w:tcPr>
          <w:p w14:paraId="36E6BF3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金额字段</w:t>
            </w:r>
          </w:p>
        </w:tc>
        <w:tc>
          <w:tcPr>
            <w:tcW w:w="2126" w:type="dxa"/>
            <w:vAlign w:val="center"/>
          </w:tcPr>
          <w:p w14:paraId="17B5218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decimal(28,8)</w:t>
            </w:r>
          </w:p>
        </w:tc>
        <w:tc>
          <w:tcPr>
            <w:tcW w:w="2126" w:type="dxa"/>
            <w:vAlign w:val="center"/>
          </w:tcPr>
          <w:p w14:paraId="6B2042E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保险金额</w:t>
            </w:r>
          </w:p>
        </w:tc>
      </w:tr>
      <w:tr w14:paraId="384D6F27">
        <w:trPr>
          <w:jc w:val="center"/>
        </w:trPr>
        <w:tc>
          <w:tcPr>
            <w:tcW w:w="2126" w:type="dxa"/>
            <w:vAlign w:val="center"/>
          </w:tcPr>
          <w:p w14:paraId="1BE0196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notes</w:t>
            </w:r>
          </w:p>
        </w:tc>
        <w:tc>
          <w:tcPr>
            <w:tcW w:w="2126" w:type="dxa"/>
            <w:vAlign w:val="center"/>
          </w:tcPr>
          <w:p w14:paraId="683F5A3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备注字段</w:t>
            </w:r>
          </w:p>
        </w:tc>
        <w:tc>
          <w:tcPr>
            <w:tcW w:w="2126" w:type="dxa"/>
            <w:vAlign w:val="center"/>
          </w:tcPr>
          <w:p w14:paraId="3851F4A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text</w:t>
            </w:r>
          </w:p>
        </w:tc>
        <w:tc>
          <w:tcPr>
            <w:tcW w:w="2126" w:type="dxa"/>
            <w:vAlign w:val="center"/>
          </w:tcPr>
          <w:p w14:paraId="0D1F1BF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备注</w:t>
            </w:r>
          </w:p>
        </w:tc>
      </w:tr>
      <w:tr w14:paraId="5963EA4E">
        <w:trPr>
          <w:jc w:val="center"/>
        </w:trPr>
        <w:tc>
          <w:tcPr>
            <w:tcW w:w="2126" w:type="dxa"/>
            <w:tcBorders>
              <w:bottom w:val="single" w:color="auto" w:sz="4" w:space="0"/>
            </w:tcBorders>
            <w:vAlign w:val="center"/>
          </w:tcPr>
          <w:p w14:paraId="45E5BE1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extra_info</w:t>
            </w:r>
          </w:p>
        </w:tc>
        <w:tc>
          <w:tcPr>
            <w:tcW w:w="2126" w:type="dxa"/>
            <w:tcBorders>
              <w:bottom w:val="single" w:color="auto" w:sz="4" w:space="0"/>
            </w:tcBorders>
            <w:vAlign w:val="center"/>
          </w:tcPr>
          <w:p w14:paraId="553E68C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扩展字段</w:t>
            </w:r>
          </w:p>
        </w:tc>
        <w:tc>
          <w:tcPr>
            <w:tcW w:w="2126" w:type="dxa"/>
            <w:tcBorders>
              <w:bottom w:val="single" w:color="auto" w:sz="4" w:space="0"/>
            </w:tcBorders>
            <w:vAlign w:val="center"/>
          </w:tcPr>
          <w:p w14:paraId="697BF64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json</w:t>
            </w:r>
          </w:p>
        </w:tc>
        <w:tc>
          <w:tcPr>
            <w:tcW w:w="2126" w:type="dxa"/>
            <w:tcBorders>
              <w:bottom w:val="single" w:color="auto" w:sz="4" w:space="0"/>
            </w:tcBorders>
            <w:vAlign w:val="center"/>
          </w:tcPr>
          <w:p w14:paraId="74353F7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扩展性保留字段</w:t>
            </w:r>
          </w:p>
        </w:tc>
      </w:tr>
    </w:tbl>
    <w:p w14:paraId="040AD61F">
      <w:r>
        <w:rPr>
          <w:rFonts w:ascii="Times New Roman" w:hAnsi="Times New Roman" w:eastAsia="宋体"/>
          <w:b w:val="0"/>
          <w:color w:val="000000"/>
          <w:sz w:val="21"/>
        </w:rPr>
        <w:t>公司车辆表维护企业自有车辆资产信息，与外部承运车辆分开保存。</w:t>
      </w:r>
    </w:p>
    <w:p w14:paraId="0D6FB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表7 订单主表与订单明细表</w:t>
      </w:r>
    </w:p>
    <w:tbl>
      <w:tblPr>
        <w:tblStyle w:val="21"/>
        <w:tblW w:w="0" w:type="auto"/>
        <w:jc w:val="center"/>
        <w:tblCaption w:val="表7 订单主表与订单明细表"/>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38"/>
        <w:gridCol w:w="1255"/>
        <w:gridCol w:w="1242"/>
        <w:gridCol w:w="3736"/>
      </w:tblGrid>
      <w:tr w14:paraId="34758DC8">
        <w:trPr>
          <w:tblHeader/>
          <w:jc w:val="center"/>
        </w:trPr>
        <w:tc>
          <w:tcPr>
            <w:tcBorders>
              <w:bottom w:val="single" w:color="auto" w:sz="4" w:space="0"/>
            </w:tcBorders>
            <w:vAlign w:val="center"/>
          </w:tcPr>
          <w:p w14:paraId="68526643">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Borders>
              <w:bottom w:val="single" w:color="auto" w:sz="4" w:space="0"/>
            </w:tcBorders>
            <w:vAlign w:val="center"/>
          </w:tcPr>
          <w:p w14:paraId="38F4C4D5">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所属表</w:t>
            </w:r>
          </w:p>
        </w:tc>
        <w:tc>
          <w:tcPr>
            <w:tcBorders>
              <w:bottom w:val="single" w:color="auto" w:sz="4" w:space="0"/>
            </w:tcBorders>
            <w:vAlign w:val="center"/>
          </w:tcPr>
          <w:p w14:paraId="3FCDF4BE">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Borders>
              <w:bottom w:val="single" w:color="auto" w:sz="4" w:space="0"/>
            </w:tcBorders>
            <w:vAlign w:val="center"/>
          </w:tcPr>
          <w:p w14:paraId="36F89441">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3EBC7487">
        <w:trPr>
          <w:jc w:val="center"/>
        </w:trPr>
        <w:tc>
          <w:tcPr>
            <w:tcBorders>
              <w:top w:val="single" w:color="auto" w:sz="4" w:space="0"/>
            </w:tcBorders>
            <w:vAlign w:val="center"/>
          </w:tcPr>
          <w:p w14:paraId="0A052F4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ordersNo</w:t>
            </w:r>
          </w:p>
        </w:tc>
        <w:tc>
          <w:tcPr>
            <w:tcBorders>
              <w:top w:val="single" w:color="auto" w:sz="4" w:space="0"/>
            </w:tcBorders>
            <w:vAlign w:val="center"/>
          </w:tcPr>
          <w:p w14:paraId="2EAB924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goodsOrder</w:t>
            </w:r>
          </w:p>
        </w:tc>
        <w:tc>
          <w:tcPr>
            <w:tcBorders>
              <w:top w:val="single" w:color="auto" w:sz="4" w:space="0"/>
            </w:tcBorders>
            <w:vAlign w:val="center"/>
          </w:tcPr>
          <w:p w14:paraId="1E2B5E1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tcBorders>
              <w:top w:val="single" w:color="auto" w:sz="4" w:space="0"/>
            </w:tcBorders>
            <w:vAlign w:val="center"/>
          </w:tcPr>
          <w:p w14:paraId="5E5A501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订单业务编号，用于主单与明细协同</w:t>
            </w:r>
          </w:p>
        </w:tc>
      </w:tr>
      <w:tr w14:paraId="77C3FBC4">
        <w:trPr>
          <w:jc w:val="center"/>
        </w:trPr>
        <w:tc>
          <w:tcPr>
            <w:vAlign w:val="center"/>
          </w:tcPr>
          <w:p w14:paraId="4B9B298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orderDate</w:t>
            </w:r>
          </w:p>
        </w:tc>
        <w:tc>
          <w:tcPr>
            <w:vAlign w:val="center"/>
          </w:tcPr>
          <w:p w14:paraId="2CF3726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goodsOrder</w:t>
            </w:r>
          </w:p>
        </w:tc>
        <w:tc>
          <w:tcPr>
            <w:vAlign w:val="center"/>
          </w:tcPr>
          <w:p w14:paraId="203289E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datetime</w:t>
            </w:r>
          </w:p>
        </w:tc>
        <w:tc>
          <w:tcPr>
            <w:vAlign w:val="center"/>
          </w:tcPr>
          <w:p w14:paraId="26D56DD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订单日期</w:t>
            </w:r>
          </w:p>
        </w:tc>
      </w:tr>
      <w:tr w14:paraId="640D032E">
        <w:trPr>
          <w:jc w:val="center"/>
        </w:trPr>
        <w:tc>
          <w:tcPr>
            <w:vAlign w:val="center"/>
          </w:tcPr>
          <w:p w14:paraId="2958760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customerID</w:t>
            </w:r>
          </w:p>
        </w:tc>
        <w:tc>
          <w:tcPr>
            <w:vAlign w:val="center"/>
          </w:tcPr>
          <w:p w14:paraId="4511584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goodsOrder</w:t>
            </w:r>
          </w:p>
        </w:tc>
        <w:tc>
          <w:tcPr>
            <w:vAlign w:val="center"/>
          </w:tcPr>
          <w:p w14:paraId="214789C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374CF56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关联客户ID</w:t>
            </w:r>
          </w:p>
        </w:tc>
      </w:tr>
      <w:tr w14:paraId="3E4BEBA9">
        <w:trPr>
          <w:jc w:val="center"/>
        </w:trPr>
        <w:tc>
          <w:tcPr>
            <w:vAlign w:val="center"/>
          </w:tcPr>
          <w:p w14:paraId="212CA70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checkState</w:t>
            </w:r>
          </w:p>
        </w:tc>
        <w:tc>
          <w:tcPr>
            <w:vAlign w:val="center"/>
          </w:tcPr>
          <w:p w14:paraId="6DF5D05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goodsOrder</w:t>
            </w:r>
          </w:p>
        </w:tc>
        <w:tc>
          <w:tcPr>
            <w:vAlign w:val="center"/>
          </w:tcPr>
          <w:p w14:paraId="236BAE5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w:t>
            </w:r>
          </w:p>
        </w:tc>
        <w:tc>
          <w:tcPr>
            <w:vAlign w:val="center"/>
          </w:tcPr>
          <w:p w14:paraId="17C6080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审核状态</w:t>
            </w:r>
          </w:p>
        </w:tc>
      </w:tr>
      <w:tr w14:paraId="4773033B">
        <w:trPr>
          <w:jc w:val="center"/>
        </w:trPr>
        <w:tc>
          <w:tcPr>
            <w:vAlign w:val="center"/>
          </w:tcPr>
          <w:p w14:paraId="36216AD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invoiceState</w:t>
            </w:r>
          </w:p>
        </w:tc>
        <w:tc>
          <w:tcPr>
            <w:vAlign w:val="center"/>
          </w:tcPr>
          <w:p w14:paraId="17174B8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goodsOrder</w:t>
            </w:r>
          </w:p>
        </w:tc>
        <w:tc>
          <w:tcPr>
            <w:vAlign w:val="center"/>
          </w:tcPr>
          <w:p w14:paraId="6E4E255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w:t>
            </w:r>
          </w:p>
        </w:tc>
        <w:tc>
          <w:tcPr>
            <w:vAlign w:val="center"/>
          </w:tcPr>
          <w:p w14:paraId="23ED066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开票状态</w:t>
            </w:r>
          </w:p>
        </w:tc>
      </w:tr>
      <w:tr w14:paraId="447408CB">
        <w:trPr>
          <w:jc w:val="center"/>
        </w:trPr>
        <w:tc>
          <w:tcPr>
            <w:vAlign w:val="center"/>
          </w:tcPr>
          <w:p w14:paraId="6389C7A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ordersNo</w:t>
            </w:r>
          </w:p>
        </w:tc>
        <w:tc>
          <w:tcPr>
            <w:vAlign w:val="center"/>
          </w:tcPr>
          <w:p w14:paraId="35FD394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orderDetail</w:t>
            </w:r>
          </w:p>
        </w:tc>
        <w:tc>
          <w:tcPr>
            <w:vAlign w:val="center"/>
          </w:tcPr>
          <w:p w14:paraId="1DEA4B6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w:t>
            </w:r>
          </w:p>
        </w:tc>
        <w:tc>
          <w:tcPr>
            <w:vAlign w:val="center"/>
          </w:tcPr>
          <w:p w14:paraId="4559D82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关联订单编号</w:t>
            </w:r>
          </w:p>
        </w:tc>
      </w:tr>
      <w:tr w14:paraId="3F5CBDB6">
        <w:trPr>
          <w:jc w:val="center"/>
        </w:trPr>
        <w:tc>
          <w:tcPr>
            <w:vAlign w:val="center"/>
          </w:tcPr>
          <w:p w14:paraId="00C893E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supplierID</w:t>
            </w:r>
          </w:p>
        </w:tc>
        <w:tc>
          <w:tcPr>
            <w:vAlign w:val="center"/>
          </w:tcPr>
          <w:p w14:paraId="42F52D4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orderDetail</w:t>
            </w:r>
          </w:p>
        </w:tc>
        <w:tc>
          <w:tcPr>
            <w:vAlign w:val="center"/>
          </w:tcPr>
          <w:p w14:paraId="44F6741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2E952E1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关联供应商ID</w:t>
            </w:r>
          </w:p>
        </w:tc>
      </w:tr>
      <w:tr w14:paraId="4A1BE4BA">
        <w:trPr>
          <w:jc w:val="center"/>
        </w:trPr>
        <w:tc>
          <w:tcPr>
            <w:vAlign w:val="center"/>
          </w:tcPr>
          <w:p w14:paraId="2DEAE8D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levelID</w:t>
            </w:r>
          </w:p>
        </w:tc>
        <w:tc>
          <w:tcPr>
            <w:vAlign w:val="center"/>
          </w:tcPr>
          <w:p w14:paraId="18E4BCB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orderDetail</w:t>
            </w:r>
          </w:p>
        </w:tc>
        <w:tc>
          <w:tcPr>
            <w:vAlign w:val="center"/>
          </w:tcPr>
          <w:p w14:paraId="1DB65AB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74FDDF2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关联产品级别ID</w:t>
            </w:r>
          </w:p>
        </w:tc>
      </w:tr>
      <w:tr w14:paraId="5B3AF85B">
        <w:trPr>
          <w:jc w:val="center"/>
        </w:trPr>
        <w:tc>
          <w:tcPr>
            <w:vAlign w:val="center"/>
          </w:tcPr>
          <w:p w14:paraId="69E092B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storeHouseID</w:t>
            </w:r>
          </w:p>
        </w:tc>
        <w:tc>
          <w:tcPr>
            <w:vAlign w:val="center"/>
          </w:tcPr>
          <w:p w14:paraId="7B93AC7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orderDetail</w:t>
            </w:r>
          </w:p>
        </w:tc>
        <w:tc>
          <w:tcPr>
            <w:vAlign w:val="center"/>
          </w:tcPr>
          <w:p w14:paraId="4BCBD30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2F1EB21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关联仓库ID（库存出库场景）</w:t>
            </w:r>
          </w:p>
        </w:tc>
      </w:tr>
      <w:tr w14:paraId="5D13E954">
        <w:trPr>
          <w:jc w:val="center"/>
        </w:trPr>
        <w:tc>
          <w:tcPr>
            <w:vAlign w:val="center"/>
          </w:tcPr>
          <w:p w14:paraId="1844383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storeID</w:t>
            </w:r>
          </w:p>
        </w:tc>
        <w:tc>
          <w:tcPr>
            <w:vAlign w:val="center"/>
          </w:tcPr>
          <w:p w14:paraId="1C83F39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orderDetail</w:t>
            </w:r>
          </w:p>
        </w:tc>
        <w:tc>
          <w:tcPr>
            <w:vAlign w:val="center"/>
          </w:tcPr>
          <w:p w14:paraId="7784482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3D4ADF3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关联库存明细ID（库存出库场景）</w:t>
            </w:r>
          </w:p>
        </w:tc>
      </w:tr>
      <w:tr w14:paraId="3CEE1FB2">
        <w:trPr>
          <w:jc w:val="center"/>
        </w:trPr>
        <w:tc>
          <w:tcPr>
            <w:vAlign w:val="center"/>
          </w:tcPr>
          <w:p w14:paraId="5D51EF9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pieces</w:t>
            </w:r>
          </w:p>
        </w:tc>
        <w:tc>
          <w:tcPr>
            <w:vAlign w:val="center"/>
          </w:tcPr>
          <w:p w14:paraId="47B5CB9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orderDetail</w:t>
            </w:r>
          </w:p>
        </w:tc>
        <w:tc>
          <w:tcPr>
            <w:vAlign w:val="center"/>
          </w:tcPr>
          <w:p w14:paraId="7ACBB4C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w:t>
            </w:r>
          </w:p>
        </w:tc>
        <w:tc>
          <w:tcPr>
            <w:vAlign w:val="center"/>
          </w:tcPr>
          <w:p w14:paraId="1E8CCDB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订货片数</w:t>
            </w:r>
          </w:p>
        </w:tc>
      </w:tr>
      <w:tr w14:paraId="56410EF1">
        <w:trPr>
          <w:jc w:val="center"/>
        </w:trPr>
        <w:tc>
          <w:tcPr>
            <w:vAlign w:val="center"/>
          </w:tcPr>
          <w:p w14:paraId="6A43D11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price</w:t>
            </w:r>
          </w:p>
        </w:tc>
        <w:tc>
          <w:tcPr>
            <w:vAlign w:val="center"/>
          </w:tcPr>
          <w:p w14:paraId="2509BF9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orderDetail</w:t>
            </w:r>
          </w:p>
        </w:tc>
        <w:tc>
          <w:tcPr>
            <w:vAlign w:val="center"/>
          </w:tcPr>
          <w:p w14:paraId="2EFF8F3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w:t>
            </w:r>
          </w:p>
        </w:tc>
        <w:tc>
          <w:tcPr>
            <w:vAlign w:val="center"/>
          </w:tcPr>
          <w:p w14:paraId="1176C81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单价</w:t>
            </w:r>
          </w:p>
        </w:tc>
      </w:tr>
    </w:tbl>
    <w:p w14:paraId="6C03D1C0">
      <w:pPr>
        <w:spacing w:before="0" w:after="0" w:line="360" w:lineRule="auto"/>
        <w:ind w:firstLine="480"/>
        <w:jc w:val="both"/>
      </w:pPr>
    </w:p>
    <w:p w14:paraId="7B9CEA03">
      <w:pPr>
        <w:spacing w:before="0" w:after="0" w:line="360" w:lineRule="auto"/>
        <w:ind w:firstLine="480"/>
        <w:jc w:val="both"/>
        <w:rPr>
          <w:rFonts w:hint="eastAsia" w:eastAsia="宋体"/>
          <w:lang w:val="en-US" w:eastAsia="zh-CN"/>
        </w:rPr>
      </w:pPr>
      <w:r>
        <w:t>订单主表通过 ordersNo 与 orderDetail 建立业务主从关联</w:t>
      </w:r>
      <w:r>
        <w:rPr>
          <w:rFonts w:hint="eastAsia"/>
          <w:lang w:val="en-US" w:eastAsia="zh-CN"/>
        </w:rPr>
        <w:t>。</w:t>
      </w:r>
    </w:p>
    <w:p w14:paraId="607A86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表8 入库主表与库存明细表</w:t>
      </w:r>
    </w:p>
    <w:tbl>
      <w:tblPr>
        <w:tblStyle w:val="21"/>
        <w:tblW w:w="0" w:type="auto"/>
        <w:jc w:val="center"/>
        <w:tblCaption w:val="表8 入库主表与库存明细表"/>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35"/>
        <w:gridCol w:w="1658"/>
        <w:gridCol w:w="974"/>
        <w:gridCol w:w="1824"/>
      </w:tblGrid>
      <w:tr w14:paraId="3D04BCF8">
        <w:trPr>
          <w:tblHeader/>
          <w:jc w:val="center"/>
        </w:trPr>
        <w:tc>
          <w:tcPr>
            <w:tcBorders>
              <w:bottom w:val="single" w:color="auto" w:sz="4" w:space="0"/>
            </w:tcBorders>
            <w:vAlign w:val="center"/>
          </w:tcPr>
          <w:p w14:paraId="4349051B">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Borders>
              <w:bottom w:val="single" w:color="auto" w:sz="4" w:space="0"/>
            </w:tcBorders>
            <w:vAlign w:val="center"/>
          </w:tcPr>
          <w:p w14:paraId="1C377D2D">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所属表</w:t>
            </w:r>
          </w:p>
        </w:tc>
        <w:tc>
          <w:tcPr>
            <w:tcBorders>
              <w:bottom w:val="single" w:color="auto" w:sz="4" w:space="0"/>
            </w:tcBorders>
            <w:vAlign w:val="center"/>
          </w:tcPr>
          <w:p w14:paraId="4AD1B4E6">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Borders>
              <w:bottom w:val="single" w:color="auto" w:sz="4" w:space="0"/>
            </w:tcBorders>
            <w:vAlign w:val="center"/>
          </w:tcPr>
          <w:p w14:paraId="174DFBA1">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75B3443F">
        <w:trPr>
          <w:jc w:val="center"/>
        </w:trPr>
        <w:tc>
          <w:tcPr>
            <w:tcBorders>
              <w:top w:val="single" w:color="auto" w:sz="4" w:space="0"/>
            </w:tcBorders>
            <w:vAlign w:val="center"/>
          </w:tcPr>
          <w:p w14:paraId="7973982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Borders>
              <w:top w:val="single" w:color="auto" w:sz="4" w:space="0"/>
            </w:tcBorders>
            <w:vAlign w:val="center"/>
          </w:tcPr>
          <w:p w14:paraId="1092362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inventory_main</w:t>
            </w:r>
          </w:p>
        </w:tc>
        <w:tc>
          <w:tcPr>
            <w:tcBorders>
              <w:top w:val="single" w:color="auto" w:sz="4" w:space="0"/>
            </w:tcBorders>
            <w:vAlign w:val="center"/>
          </w:tcPr>
          <w:p w14:paraId="4B92D0C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Borders>
              <w:top w:val="single" w:color="auto" w:sz="4" w:space="0"/>
            </w:tcBorders>
            <w:vAlign w:val="center"/>
          </w:tcPr>
          <w:p w14:paraId="48D1F6C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入库主单ID</w:t>
            </w:r>
          </w:p>
        </w:tc>
      </w:tr>
      <w:tr w14:paraId="67CB2BD5">
        <w:trPr>
          <w:jc w:val="center"/>
        </w:trPr>
        <w:tc>
          <w:tcPr>
            <w:vAlign w:val="center"/>
          </w:tcPr>
          <w:p w14:paraId="762FF76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storeHouseid</w:t>
            </w:r>
          </w:p>
        </w:tc>
        <w:tc>
          <w:tcPr>
            <w:vAlign w:val="center"/>
          </w:tcPr>
          <w:p w14:paraId="23809E4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inventory_main</w:t>
            </w:r>
          </w:p>
        </w:tc>
        <w:tc>
          <w:tcPr>
            <w:vAlign w:val="center"/>
          </w:tcPr>
          <w:p w14:paraId="281EBA8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72FB75A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关联仓库ID</w:t>
            </w:r>
          </w:p>
        </w:tc>
      </w:tr>
      <w:tr w14:paraId="74B86C46">
        <w:trPr>
          <w:jc w:val="center"/>
        </w:trPr>
        <w:tc>
          <w:tcPr>
            <w:vAlign w:val="center"/>
          </w:tcPr>
          <w:p w14:paraId="42053C1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storeDate</w:t>
            </w:r>
          </w:p>
        </w:tc>
        <w:tc>
          <w:tcPr>
            <w:vAlign w:val="center"/>
          </w:tcPr>
          <w:p w14:paraId="5DC0557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inventory_main</w:t>
            </w:r>
          </w:p>
        </w:tc>
        <w:tc>
          <w:tcPr>
            <w:vAlign w:val="center"/>
          </w:tcPr>
          <w:p w14:paraId="792CFCF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datetime</w:t>
            </w:r>
          </w:p>
        </w:tc>
        <w:tc>
          <w:tcPr>
            <w:vAlign w:val="center"/>
          </w:tcPr>
          <w:p w14:paraId="2DCAF4C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入库日期</w:t>
            </w:r>
          </w:p>
        </w:tc>
      </w:tr>
      <w:tr w14:paraId="6B6EAD45">
        <w:trPr>
          <w:jc w:val="center"/>
        </w:trPr>
        <w:tc>
          <w:tcPr>
            <w:vAlign w:val="center"/>
          </w:tcPr>
          <w:p w14:paraId="7510073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checkUserId</w:t>
            </w:r>
          </w:p>
        </w:tc>
        <w:tc>
          <w:tcPr>
            <w:vAlign w:val="center"/>
          </w:tcPr>
          <w:p w14:paraId="08A69ED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inventory_main</w:t>
            </w:r>
          </w:p>
        </w:tc>
        <w:tc>
          <w:tcPr>
            <w:vAlign w:val="center"/>
          </w:tcPr>
          <w:p w14:paraId="6CBDBDF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2E45752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审核人ID</w:t>
            </w:r>
          </w:p>
        </w:tc>
      </w:tr>
      <w:tr w14:paraId="22C7F7C4">
        <w:trPr>
          <w:jc w:val="center"/>
        </w:trPr>
        <w:tc>
          <w:tcPr>
            <w:vAlign w:val="center"/>
          </w:tcPr>
          <w:p w14:paraId="2B05FB4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checkState</w:t>
            </w:r>
          </w:p>
        </w:tc>
        <w:tc>
          <w:tcPr>
            <w:vAlign w:val="center"/>
          </w:tcPr>
          <w:p w14:paraId="55D3DD4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inventory_main</w:t>
            </w:r>
          </w:p>
        </w:tc>
        <w:tc>
          <w:tcPr>
            <w:vAlign w:val="center"/>
          </w:tcPr>
          <w:p w14:paraId="5E24558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w:t>
            </w:r>
          </w:p>
        </w:tc>
        <w:tc>
          <w:tcPr>
            <w:vAlign w:val="center"/>
          </w:tcPr>
          <w:p w14:paraId="50B8068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审核状态</w:t>
            </w:r>
          </w:p>
        </w:tc>
      </w:tr>
      <w:tr w14:paraId="2E6DC024">
        <w:trPr>
          <w:jc w:val="center"/>
        </w:trPr>
        <w:tc>
          <w:tcPr>
            <w:vAlign w:val="center"/>
          </w:tcPr>
          <w:p w14:paraId="63E7AF0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comments</w:t>
            </w:r>
          </w:p>
        </w:tc>
        <w:tc>
          <w:tcPr>
            <w:vAlign w:val="center"/>
          </w:tcPr>
          <w:p w14:paraId="311DEB5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inventory_main</w:t>
            </w:r>
          </w:p>
        </w:tc>
        <w:tc>
          <w:tcPr>
            <w:vAlign w:val="center"/>
          </w:tcPr>
          <w:p w14:paraId="5565C81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w:t>
            </w:r>
          </w:p>
        </w:tc>
        <w:tc>
          <w:tcPr>
            <w:vAlign w:val="center"/>
          </w:tcPr>
          <w:p w14:paraId="7841E91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入库备注</w:t>
            </w:r>
          </w:p>
        </w:tc>
      </w:tr>
      <w:tr w14:paraId="3E8F4FB1">
        <w:trPr>
          <w:jc w:val="center"/>
        </w:trPr>
        <w:tc>
          <w:tcPr>
            <w:vAlign w:val="center"/>
          </w:tcPr>
          <w:p w14:paraId="5C9C073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main_id</w:t>
            </w:r>
          </w:p>
        </w:tc>
        <w:tc>
          <w:tcPr>
            <w:vAlign w:val="center"/>
          </w:tcPr>
          <w:p w14:paraId="3ABA5A4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inventory_detail</w:t>
            </w:r>
          </w:p>
        </w:tc>
        <w:tc>
          <w:tcPr>
            <w:vAlign w:val="center"/>
          </w:tcPr>
          <w:p w14:paraId="1580DE4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7DA57C5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关联入库主单ID</w:t>
            </w:r>
          </w:p>
        </w:tc>
      </w:tr>
      <w:tr w14:paraId="11122127">
        <w:trPr>
          <w:jc w:val="center"/>
        </w:trPr>
        <w:tc>
          <w:tcPr>
            <w:vAlign w:val="center"/>
          </w:tcPr>
          <w:p w14:paraId="480DED3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supplierId</w:t>
            </w:r>
          </w:p>
        </w:tc>
        <w:tc>
          <w:tcPr>
            <w:vAlign w:val="center"/>
          </w:tcPr>
          <w:p w14:paraId="1EE8EB4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inventory_detail</w:t>
            </w:r>
          </w:p>
        </w:tc>
        <w:tc>
          <w:tcPr>
            <w:vAlign w:val="center"/>
          </w:tcPr>
          <w:p w14:paraId="497F1AE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305782A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关联供应商ID</w:t>
            </w:r>
          </w:p>
        </w:tc>
      </w:tr>
      <w:tr w14:paraId="1648BD6D">
        <w:trPr>
          <w:jc w:val="center"/>
        </w:trPr>
        <w:tc>
          <w:tcPr>
            <w:vAlign w:val="center"/>
          </w:tcPr>
          <w:p w14:paraId="71FB9F7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levelID</w:t>
            </w:r>
          </w:p>
        </w:tc>
        <w:tc>
          <w:tcPr>
            <w:vAlign w:val="center"/>
          </w:tcPr>
          <w:p w14:paraId="12E494F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inventory_detail</w:t>
            </w:r>
          </w:p>
        </w:tc>
        <w:tc>
          <w:tcPr>
            <w:vAlign w:val="center"/>
          </w:tcPr>
          <w:p w14:paraId="716495E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77A8108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关联产品级别ID</w:t>
            </w:r>
          </w:p>
        </w:tc>
      </w:tr>
      <w:tr w14:paraId="3CA9BBDF">
        <w:trPr>
          <w:jc w:val="center"/>
        </w:trPr>
        <w:tc>
          <w:tcPr>
            <w:vAlign w:val="center"/>
          </w:tcPr>
          <w:p w14:paraId="59BD34B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pieces</w:t>
            </w:r>
          </w:p>
        </w:tc>
        <w:tc>
          <w:tcPr>
            <w:vAlign w:val="center"/>
          </w:tcPr>
          <w:p w14:paraId="2C1B9E8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inventory_detail</w:t>
            </w:r>
          </w:p>
        </w:tc>
        <w:tc>
          <w:tcPr>
            <w:vAlign w:val="center"/>
          </w:tcPr>
          <w:p w14:paraId="0E2FB09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w:t>
            </w:r>
          </w:p>
        </w:tc>
        <w:tc>
          <w:tcPr>
            <w:vAlign w:val="center"/>
          </w:tcPr>
          <w:p w14:paraId="771AB66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片数</w:t>
            </w:r>
          </w:p>
        </w:tc>
      </w:tr>
      <w:tr w14:paraId="58EDA31D">
        <w:trPr>
          <w:jc w:val="center"/>
        </w:trPr>
        <w:tc>
          <w:tcPr>
            <w:vAlign w:val="center"/>
          </w:tcPr>
          <w:p w14:paraId="716E276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packs</w:t>
            </w:r>
          </w:p>
        </w:tc>
        <w:tc>
          <w:tcPr>
            <w:vAlign w:val="center"/>
          </w:tcPr>
          <w:p w14:paraId="714496D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inventory_detail</w:t>
            </w:r>
          </w:p>
        </w:tc>
        <w:tc>
          <w:tcPr>
            <w:vAlign w:val="center"/>
          </w:tcPr>
          <w:p w14:paraId="005B8F7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w:t>
            </w:r>
          </w:p>
        </w:tc>
        <w:tc>
          <w:tcPr>
            <w:vAlign w:val="center"/>
          </w:tcPr>
          <w:p w14:paraId="70FDDAE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包数</w:t>
            </w:r>
          </w:p>
        </w:tc>
      </w:tr>
      <w:tr w14:paraId="57E1F147">
        <w:trPr>
          <w:jc w:val="center"/>
        </w:trPr>
        <w:tc>
          <w:tcPr>
            <w:vAlign w:val="center"/>
          </w:tcPr>
          <w:p w14:paraId="6F3386B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stockNumber</w:t>
            </w:r>
          </w:p>
        </w:tc>
        <w:tc>
          <w:tcPr>
            <w:vAlign w:val="center"/>
          </w:tcPr>
          <w:p w14:paraId="66C9D07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inventory_detail</w:t>
            </w:r>
          </w:p>
        </w:tc>
        <w:tc>
          <w:tcPr>
            <w:vAlign w:val="center"/>
          </w:tcPr>
          <w:p w14:paraId="5D2DD55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w:t>
            </w:r>
          </w:p>
        </w:tc>
        <w:tc>
          <w:tcPr>
            <w:vAlign w:val="center"/>
          </w:tcPr>
          <w:p w14:paraId="589013E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库存片数</w:t>
            </w:r>
          </w:p>
        </w:tc>
      </w:tr>
      <w:tr w14:paraId="075A98CF">
        <w:trPr>
          <w:jc w:val="center"/>
        </w:trPr>
        <w:tc>
          <w:tcPr>
            <w:vAlign w:val="center"/>
          </w:tcPr>
          <w:p w14:paraId="2932149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price</w:t>
            </w:r>
          </w:p>
        </w:tc>
        <w:tc>
          <w:tcPr>
            <w:vAlign w:val="center"/>
          </w:tcPr>
          <w:p w14:paraId="3C0A587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inventory_detail</w:t>
            </w:r>
          </w:p>
        </w:tc>
        <w:tc>
          <w:tcPr>
            <w:vAlign w:val="center"/>
          </w:tcPr>
          <w:p w14:paraId="377D8F1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w:t>
            </w:r>
          </w:p>
        </w:tc>
        <w:tc>
          <w:tcPr>
            <w:vAlign w:val="center"/>
          </w:tcPr>
          <w:p w14:paraId="17167A3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存货单价</w:t>
            </w:r>
          </w:p>
        </w:tc>
      </w:tr>
      <w:tr w14:paraId="0D9C7E17">
        <w:trPr>
          <w:jc w:val="center"/>
        </w:trPr>
        <w:tc>
          <w:tcPr>
            <w:vAlign w:val="center"/>
          </w:tcPr>
          <w:p w14:paraId="134420B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paymentsWithSundry</w:t>
            </w:r>
          </w:p>
        </w:tc>
        <w:tc>
          <w:tcPr>
            <w:vAlign w:val="center"/>
          </w:tcPr>
          <w:p w14:paraId="65BC519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inventory_detail</w:t>
            </w:r>
          </w:p>
        </w:tc>
        <w:tc>
          <w:tcPr>
            <w:vAlign w:val="center"/>
          </w:tcPr>
          <w:p w14:paraId="673C9AD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w:t>
            </w:r>
          </w:p>
        </w:tc>
        <w:tc>
          <w:tcPr>
            <w:vAlign w:val="center"/>
          </w:tcPr>
          <w:p w14:paraId="0E3D9CC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货款与杂费合计</w:t>
            </w:r>
          </w:p>
        </w:tc>
      </w:tr>
    </w:tbl>
    <w:p w14:paraId="03A0493D">
      <w:pPr>
        <w:spacing w:before="0" w:after="0" w:line="360" w:lineRule="auto"/>
        <w:ind w:firstLine="480"/>
        <w:jc w:val="both"/>
        <w:rPr>
          <w:rFonts w:hint="eastAsia" w:ascii="Times New Roman" w:hAnsi="Times New Roman" w:eastAsia="宋体"/>
          <w:sz w:val="24"/>
        </w:rPr>
      </w:pPr>
    </w:p>
    <w:p w14:paraId="4579E84C">
      <w:pPr>
        <w:spacing w:before="0" w:after="0" w:line="360" w:lineRule="auto"/>
        <w:ind w:firstLine="480"/>
        <w:jc w:val="both"/>
        <w:rPr>
          <w:rFonts w:hint="eastAsia" w:eastAsia="宋体"/>
          <w:lang w:eastAsia="zh-CN"/>
        </w:rPr>
      </w:pPr>
      <w:r>
        <w:t xml:space="preserve">入库主表描述一次入库作业的整体属性，库存明细表描述入库货物的规格、数量和金额信息，二者通过 main_id 构成稳定的主从结构. </w:t>
      </w:r>
    </w:p>
    <w:p w14:paraId="24E276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表9 出库记录表</w:t>
      </w:r>
    </w:p>
    <w:tbl>
      <w:tblPr>
        <w:tblStyle w:val="21"/>
        <w:tblW w:w="0" w:type="auto"/>
        <w:jc w:val="center"/>
        <w:tblCaption w:val="表9 出库记录表"/>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77"/>
        <w:gridCol w:w="1536"/>
        <w:gridCol w:w="1352"/>
        <w:gridCol w:w="3076"/>
      </w:tblGrid>
      <w:tr w14:paraId="4BC678F5">
        <w:trPr>
          <w:tblHeader/>
          <w:jc w:val="center"/>
        </w:trPr>
        <w:tc>
          <w:tcPr>
            <w:tcBorders>
              <w:bottom w:val="single" w:color="auto" w:sz="4" w:space="0"/>
            </w:tcBorders>
            <w:vAlign w:val="center"/>
          </w:tcPr>
          <w:p w14:paraId="0A258156">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字段名</w:t>
            </w:r>
          </w:p>
        </w:tc>
        <w:tc>
          <w:tcPr>
            <w:tcBorders>
              <w:bottom w:val="single" w:color="auto" w:sz="4" w:space="0"/>
            </w:tcBorders>
            <w:vAlign w:val="center"/>
          </w:tcPr>
          <w:p w14:paraId="71103894">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类别</w:t>
            </w:r>
          </w:p>
        </w:tc>
        <w:tc>
          <w:tcPr>
            <w:tcBorders>
              <w:bottom w:val="single" w:color="auto" w:sz="4" w:space="0"/>
            </w:tcBorders>
            <w:vAlign w:val="center"/>
          </w:tcPr>
          <w:p w14:paraId="422984E4">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类型</w:t>
            </w:r>
          </w:p>
        </w:tc>
        <w:tc>
          <w:tcPr>
            <w:tcBorders>
              <w:bottom w:val="single" w:color="auto" w:sz="4" w:space="0"/>
            </w:tcBorders>
            <w:vAlign w:val="center"/>
          </w:tcPr>
          <w:p w14:paraId="45938EE8">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说明</w:t>
            </w:r>
          </w:p>
        </w:tc>
      </w:tr>
      <w:tr w14:paraId="69EF1644">
        <w:trPr>
          <w:jc w:val="center"/>
        </w:trPr>
        <w:tc>
          <w:tcPr>
            <w:tcBorders>
              <w:top w:val="single" w:color="auto" w:sz="4" w:space="0"/>
            </w:tcBorders>
            <w:vAlign w:val="center"/>
          </w:tcPr>
          <w:p w14:paraId="38042C6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id</w:t>
            </w:r>
          </w:p>
        </w:tc>
        <w:tc>
          <w:tcPr>
            <w:tcBorders>
              <w:top w:val="single" w:color="auto" w:sz="4" w:space="0"/>
            </w:tcBorders>
            <w:vAlign w:val="center"/>
          </w:tcPr>
          <w:p w14:paraId="729023C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主键</w:t>
            </w:r>
          </w:p>
        </w:tc>
        <w:tc>
          <w:tcPr>
            <w:tcBorders>
              <w:top w:val="single" w:color="auto" w:sz="4" w:space="0"/>
            </w:tcBorders>
            <w:vAlign w:val="center"/>
          </w:tcPr>
          <w:p w14:paraId="30348B9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tcBorders>
              <w:top w:val="single" w:color="auto" w:sz="4" w:space="0"/>
            </w:tcBorders>
            <w:vAlign w:val="center"/>
          </w:tcPr>
          <w:p w14:paraId="06186D6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出库记录唯一标识</w:t>
            </w:r>
          </w:p>
        </w:tc>
      </w:tr>
      <w:tr w14:paraId="4B26BFEB">
        <w:trPr>
          <w:jc w:val="center"/>
        </w:trPr>
        <w:tc>
          <w:tcPr>
            <w:vAlign w:val="center"/>
          </w:tcPr>
          <w:p w14:paraId="6A922D7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ordersNo</w:t>
            </w:r>
          </w:p>
        </w:tc>
        <w:tc>
          <w:tcPr>
            <w:vAlign w:val="center"/>
          </w:tcPr>
          <w:p w14:paraId="6EFF57C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267A8F4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varchar(64)</w:t>
            </w:r>
          </w:p>
        </w:tc>
        <w:tc>
          <w:tcPr>
            <w:vAlign w:val="center"/>
          </w:tcPr>
          <w:p w14:paraId="5228576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关联订单编号或特殊出库标识</w:t>
            </w:r>
          </w:p>
        </w:tc>
      </w:tr>
      <w:tr w14:paraId="19B81A24">
        <w:trPr>
          <w:jc w:val="center"/>
        </w:trPr>
        <w:tc>
          <w:tcPr>
            <w:vAlign w:val="center"/>
          </w:tcPr>
          <w:p w14:paraId="31DD4DA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storeHouseid</w:t>
            </w:r>
          </w:p>
        </w:tc>
        <w:tc>
          <w:tcPr>
            <w:vAlign w:val="center"/>
          </w:tcPr>
          <w:p w14:paraId="09EF7AC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外键</w:t>
            </w:r>
          </w:p>
        </w:tc>
        <w:tc>
          <w:tcPr>
            <w:vAlign w:val="center"/>
          </w:tcPr>
          <w:p w14:paraId="56AC595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0CC6F99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关联仓库ID</w:t>
            </w:r>
          </w:p>
        </w:tc>
      </w:tr>
      <w:tr w14:paraId="598BA13E">
        <w:trPr>
          <w:jc w:val="center"/>
        </w:trPr>
        <w:tc>
          <w:tcPr>
            <w:vAlign w:val="center"/>
          </w:tcPr>
          <w:p w14:paraId="2CCA0AB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storeID</w:t>
            </w:r>
          </w:p>
        </w:tc>
        <w:tc>
          <w:tcPr>
            <w:vAlign w:val="center"/>
          </w:tcPr>
          <w:p w14:paraId="29ABC4F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外键</w:t>
            </w:r>
          </w:p>
        </w:tc>
        <w:tc>
          <w:tcPr>
            <w:vAlign w:val="center"/>
          </w:tcPr>
          <w:p w14:paraId="1F777DD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056912E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关联库存明细ID</w:t>
            </w:r>
          </w:p>
        </w:tc>
      </w:tr>
      <w:tr w14:paraId="0BEF424B">
        <w:trPr>
          <w:jc w:val="center"/>
        </w:trPr>
        <w:tc>
          <w:tcPr>
            <w:vAlign w:val="center"/>
          </w:tcPr>
          <w:p w14:paraId="07AFD06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outDate</w:t>
            </w:r>
          </w:p>
        </w:tc>
        <w:tc>
          <w:tcPr>
            <w:vAlign w:val="center"/>
          </w:tcPr>
          <w:p w14:paraId="00A9D99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0FB1647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datetime</w:t>
            </w:r>
          </w:p>
        </w:tc>
        <w:tc>
          <w:tcPr>
            <w:vAlign w:val="center"/>
          </w:tcPr>
          <w:p w14:paraId="50FEE54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出库日期</w:t>
            </w:r>
          </w:p>
        </w:tc>
      </w:tr>
      <w:tr w14:paraId="5F2E4B74">
        <w:trPr>
          <w:jc w:val="center"/>
        </w:trPr>
        <w:tc>
          <w:tcPr>
            <w:vAlign w:val="center"/>
          </w:tcPr>
          <w:p w14:paraId="3E46060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outAmount</w:t>
            </w:r>
          </w:p>
        </w:tc>
        <w:tc>
          <w:tcPr>
            <w:vAlign w:val="center"/>
          </w:tcPr>
          <w:p w14:paraId="13EDFFF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业务字段</w:t>
            </w:r>
          </w:p>
        </w:tc>
        <w:tc>
          <w:tcPr>
            <w:vAlign w:val="center"/>
          </w:tcPr>
          <w:p w14:paraId="772F055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decimal</w:t>
            </w:r>
          </w:p>
        </w:tc>
        <w:tc>
          <w:tcPr>
            <w:vAlign w:val="center"/>
          </w:tcPr>
          <w:p w14:paraId="76DE389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出库数量</w:t>
            </w:r>
          </w:p>
        </w:tc>
      </w:tr>
      <w:tr w14:paraId="5906C351">
        <w:trPr>
          <w:jc w:val="center"/>
        </w:trPr>
        <w:tc>
          <w:tcPr>
            <w:vAlign w:val="center"/>
          </w:tcPr>
          <w:p w14:paraId="051F76E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remark</w:t>
            </w:r>
          </w:p>
        </w:tc>
        <w:tc>
          <w:tcPr>
            <w:vAlign w:val="center"/>
          </w:tcPr>
          <w:p w14:paraId="3DE310F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备注字段</w:t>
            </w:r>
          </w:p>
        </w:tc>
        <w:tc>
          <w:tcPr>
            <w:vAlign w:val="center"/>
          </w:tcPr>
          <w:p w14:paraId="6092034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varchar(500)</w:t>
            </w:r>
          </w:p>
        </w:tc>
        <w:tc>
          <w:tcPr>
            <w:vAlign w:val="center"/>
          </w:tcPr>
          <w:p w14:paraId="67FA59B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备注信息</w:t>
            </w:r>
          </w:p>
        </w:tc>
      </w:tr>
      <w:tr w14:paraId="2AD08013">
        <w:trPr>
          <w:jc w:val="center"/>
        </w:trPr>
        <w:tc>
          <w:tcPr>
            <w:vAlign w:val="center"/>
          </w:tcPr>
          <w:p w14:paraId="464FCDC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delFlag</w:t>
            </w:r>
          </w:p>
        </w:tc>
        <w:tc>
          <w:tcPr>
            <w:vAlign w:val="center"/>
          </w:tcPr>
          <w:p w14:paraId="4D19113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逻辑删除字段</w:t>
            </w:r>
          </w:p>
        </w:tc>
        <w:tc>
          <w:tcPr>
            <w:vAlign w:val="center"/>
          </w:tcPr>
          <w:p w14:paraId="3F9EB46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bigint</w:t>
            </w:r>
          </w:p>
        </w:tc>
        <w:tc>
          <w:tcPr>
            <w:vAlign w:val="center"/>
          </w:tcPr>
          <w:p w14:paraId="6A73C88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删除标志</w:t>
            </w:r>
          </w:p>
        </w:tc>
      </w:tr>
    </w:tbl>
    <w:p w14:paraId="1D809450">
      <w:pPr>
        <w:spacing w:before="0" w:after="0" w:line="360" w:lineRule="auto"/>
        <w:ind w:firstLine="480"/>
        <w:jc w:val="both"/>
        <w:rPr>
          <w:rFonts w:hint="eastAsia" w:ascii="Times New Roman" w:hAnsi="Times New Roman" w:eastAsia="宋体"/>
          <w:sz w:val="24"/>
        </w:rPr>
      </w:pPr>
    </w:p>
    <w:p w14:paraId="0EABE118">
      <w:pPr>
        <w:spacing w:before="0" w:after="0" w:line="360" w:lineRule="auto"/>
        <w:jc w:val="both"/>
        <w:rPr>
          <w:rFonts w:hint="eastAsia" w:eastAsia="宋体"/>
          <w:lang w:eastAsia="zh-CN"/>
        </w:rPr>
      </w:pPr>
      <w:r>
        <w:t xml:space="preserve">出库记录表通过 storeID 和 storeHouseid 连接库存明细与仓库. 出库方向在业务查询中按正常发货、二次加工和破损等规则进行区分，不单独作为实体持久化字段保存. </w:t>
      </w:r>
    </w:p>
    <w:bookmarkEnd w:id="80"/>
    <w:p w14:paraId="3E47331C">
      <w:pPr>
        <w:pStyle w:val="6"/>
      </w:pPr>
      <w:bookmarkStart w:id="81" w:name="数据库设计策略"/>
      <w:r>
        <w:t>4.4.3 数据库设计策略</w:t>
      </w:r>
    </w:p>
    <w:p w14:paraId="731850CD">
      <w:pPr>
        <w:spacing w:before="0" w:after="0" w:line="360" w:lineRule="auto"/>
        <w:ind w:firstLine="480"/>
        <w:jc w:val="both"/>
        <w:rPr>
          <w:rFonts w:hint="eastAsia" w:eastAsia="宋体"/>
          <w:lang w:eastAsia="zh-CN"/>
        </w:rPr>
      </w:pPr>
      <w:r>
        <w:t xml:space="preserve">数据库设计还需要考虑后续维护和异常回查. 除字段本身外，逻辑删除、主从结构、冗余字段、状态控制和追溯对象都会影响系统运行后的数据可信度. </w:t>
      </w:r>
    </w:p>
    <w:p w14:paraId="7888078F">
      <w:pPr>
        <w:spacing w:before="0" w:after="0" w:line="360" w:lineRule="auto"/>
        <w:ind w:firstLine="480"/>
        <w:jc w:val="both"/>
        <w:rPr>
          <w:rFonts w:hint="eastAsia" w:eastAsia="宋体"/>
          <w:lang w:eastAsia="zh-CN"/>
        </w:rPr>
      </w:pPr>
      <w:r>
        <w:t xml:space="preserve">（1）逻辑删除. 核心业务表普遍采用逻辑删除标志字段，避免历史记录被物理清除后无法追溯. </w:t>
      </w:r>
    </w:p>
    <w:p w14:paraId="59D067E0">
      <w:pPr>
        <w:spacing w:before="0" w:after="0" w:line="360" w:lineRule="auto"/>
        <w:ind w:firstLine="480"/>
        <w:jc w:val="both"/>
        <w:rPr>
          <w:rFonts w:hint="eastAsia" w:eastAsia="宋体"/>
          <w:lang w:eastAsia="zh-CN"/>
        </w:rPr>
      </w:pPr>
      <w:r>
        <w:t xml:space="preserve">（2）主从结构建模. 对于入库和订单这类天然具有“整体 + 明细”结构的业务，采用主表加明细表的方式组织数据，以兼顾录入效率和查询清晰度. </w:t>
      </w:r>
    </w:p>
    <w:p w14:paraId="5BF83E90">
      <w:pPr>
        <w:spacing w:before="0" w:after="0" w:line="360" w:lineRule="auto"/>
        <w:ind w:firstLine="480"/>
        <w:jc w:val="both"/>
        <w:rPr>
          <w:rFonts w:hint="eastAsia" w:eastAsia="宋体"/>
          <w:lang w:eastAsia="zh-CN"/>
        </w:rPr>
      </w:pPr>
      <w:r>
        <w:t xml:space="preserve">（3）必要冗余. 列表查询和统计页面需要频繁展示仓库名称、客户名称、供应商名称、产品级别名称、车牌号、车队名称和银行账号等信息，部分冗余字段可以减少联表查询压力. 主数据发生变化时，再通过同步或异步刷新方式维护展示口径. </w:t>
      </w:r>
    </w:p>
    <w:p w14:paraId="68265EFF">
      <w:pPr>
        <w:spacing w:before="0" w:after="0" w:line="360" w:lineRule="auto"/>
        <w:ind w:firstLine="480"/>
        <w:jc w:val="both"/>
        <w:rPr>
          <w:rFonts w:hint="eastAsia" w:eastAsia="宋体"/>
          <w:lang w:eastAsia="zh-CN"/>
        </w:rPr>
      </w:pPr>
      <w:r>
        <w:t xml:space="preserve">（4）状态受控. 库存审核、出库方向和订单状态等关键字段需要统一纳入状态控制体系，防止业务流程在数据层面出现歧义. </w:t>
      </w:r>
    </w:p>
    <w:p w14:paraId="32EEDB8F">
      <w:pPr>
        <w:spacing w:before="0" w:after="0" w:line="360" w:lineRule="auto"/>
        <w:ind w:firstLine="480"/>
        <w:jc w:val="both"/>
        <w:rPr>
          <w:rFonts w:hint="eastAsia" w:eastAsia="宋体"/>
          <w:lang w:eastAsia="zh-CN"/>
        </w:rPr>
      </w:pPr>
      <w:r>
        <w:t xml:space="preserve">（5）追溯优先. 附件、备份日志和导出任务虽然不直接参与库存计算，但在排查库存争议、导出失败或操作异常时很有价值，因此需要在设计阶段预留记录和查询入口. </w:t>
      </w:r>
    </w:p>
    <w:bookmarkEnd w:id="78"/>
    <w:bookmarkEnd w:id="81"/>
    <w:p w14:paraId="0F3980B7">
      <w:pPr>
        <w:pStyle w:val="3"/>
      </w:pPr>
      <w:bookmarkStart w:id="82" w:name="_Toc010018"/>
      <w:bookmarkStart w:id="83" w:name="_Toc1037688822"/>
      <w:bookmarkStart w:id="84" w:name="_Toc247771696"/>
      <w:bookmarkStart w:id="85" w:name="系统功能设计"/>
      <w:r>
        <w:t>4.5 系统功能设计</w:t>
      </w:r>
      <w:bookmarkEnd w:id="82"/>
      <w:bookmarkEnd w:id="83"/>
      <w:bookmarkEnd w:id="84"/>
    </w:p>
    <w:p w14:paraId="384B395D">
      <w:pPr>
        <w:spacing w:before="0" w:after="0" w:line="360" w:lineRule="auto"/>
        <w:ind w:firstLine="480"/>
        <w:jc w:val="both"/>
        <w:rPr>
          <w:rFonts w:hint="eastAsia" w:eastAsia="宋体"/>
          <w:lang w:eastAsia="zh-CN"/>
        </w:rPr>
      </w:pPr>
      <w:r>
        <w:t xml:space="preserve">在完成总体架构和数据库设计之后，还需要进一步说明系统核心功能如何被组织与协同. 结合源码实现，本系统的功能设计并不是将每个页面简单对应到某一张数据表，而是围绕“权限控制、订单协同、仓储作业、统计导出和联动一致性”五条主线展开：前端页面负责采集和展示数据，服务层负责规则校验和状态控制，事件与异步机制负责模块联动，统计与导出模块负责结果呈现与文件输出. </w:t>
      </w:r>
    </w:p>
    <w:p w14:paraId="6ED1A81D">
      <w:pPr>
        <w:pStyle w:val="6"/>
      </w:pPr>
      <w:bookmarkStart w:id="86" w:name="用户认证与授权功能设计"/>
      <w:r>
        <w:t>4.5.1 用户认证与授权功能设计</w:t>
      </w:r>
    </w:p>
    <w:p w14:paraId="0DC623C0">
      <w:pPr>
        <w:spacing w:before="0" w:after="0" w:line="360" w:lineRule="auto"/>
        <w:ind w:firstLine="480"/>
        <w:jc w:val="both"/>
        <w:rPr>
          <w:rFonts w:hint="eastAsia" w:eastAsia="宋体"/>
          <w:lang w:eastAsia="zh-CN"/>
        </w:rPr>
      </w:pPr>
      <w:r>
        <w:t xml:space="preserve">认证与授权设计关注三个连续动作：登录时确认身份，请求时恢复权限，页面上只显示授权范围内的入口. 系统使用Spring Security与JWT完成后端认证，并将用户、角色和权限等运行时信息缓存到Redis中，整体流程如图7所示. </w:t>
      </w:r>
    </w:p>
    <w:p w14:paraId="39FBB7D5">
      <w:pPr>
        <w:spacing w:before="0" w:after="0" w:line="360" w:lineRule="auto"/>
        <w:ind w:firstLine="480"/>
        <w:jc w:val="both"/>
        <w:rPr>
          <w:rFonts w:hint="eastAsia" w:eastAsia="宋体"/>
          <w:lang w:eastAsia="zh-CN"/>
        </w:rPr>
      </w:pPr>
      <w:r>
        <w:t xml:space="preserve">登录阶段，前端提交用户名和密码，认证服务校验成功后生成JWT，同时把权限上下文写入缓存. 这样用户切换页面或再次访问接口时，不需要反复查询完整权限数据. </w:t>
      </w:r>
    </w:p>
    <w:p w14:paraId="1E69E10C">
      <w:pPr>
        <w:spacing w:before="0" w:after="0" w:line="360" w:lineRule="auto"/>
        <w:ind w:firstLine="480"/>
        <w:jc w:val="both"/>
        <w:rPr>
          <w:rFonts w:hint="eastAsia" w:eastAsia="宋体"/>
          <w:lang w:eastAsia="zh-CN"/>
        </w:rPr>
      </w:pPr>
      <w:r>
        <w:t xml:space="preserve">访问业务接口时，Axios先在请求头中带上令牌，后端过滤器解析令牌并恢复安全上下文，随后由权限注解、菜单权限和按钮权限继续控制具体操作. 前端路由守卫则根据token和角色数据生成可访问菜单，使后端拦截和前端展示互相配合. </w:t>
      </w:r>
    </w:p>
    <w:p w14:paraId="0E275E30">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601335" cy="5853430"/>
            <wp:effectExtent l="0" t="0" r="12065" b="13970"/>
            <wp:docPr id="125" name="Picture" descr="图7 用户认证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图7 用户认证流程图"/>
                    <pic:cNvPicPr>
                      <a:picLocks noChangeAspect="1" noChangeArrowheads="1"/>
                    </pic:cNvPicPr>
                  </pic:nvPicPr>
                  <pic:blipFill>
                    <a:blip r:embed="rId27"/>
                    <a:stretch>
                      <a:fillRect/>
                    </a:stretch>
                  </pic:blipFill>
                  <pic:spPr>
                    <a:xfrm>
                      <a:off x="0" y="0"/>
                      <a:ext cx="5601335" cy="5853430"/>
                    </a:xfrm>
                    <a:prstGeom prst="rect">
                      <a:avLst/>
                    </a:prstGeom>
                    <a:noFill/>
                    <a:ln w="9525">
                      <a:noFill/>
                    </a:ln>
                  </pic:spPr>
                </pic:pic>
              </a:graphicData>
            </a:graphic>
          </wp:inline>
        </w:drawing>
      </w:r>
    </w:p>
    <w:p w14:paraId="2C967D7A">
      <w:pPr>
        <w:bidi w:val="0"/>
        <w:jc w:val="center"/>
        <w:rPr>
          <w:rFonts w:ascii="宋体" w:hAnsi="宋体" w:eastAsia="宋体" w:cs="宋体"/>
          <w:color w:val="auto"/>
          <w:sz w:val="18"/>
        </w:rPr>
      </w:pPr>
      <w:r>
        <w:rPr>
          <w:rFonts w:ascii="宋体" w:hAnsi="宋体" w:eastAsia="宋体" w:cs="宋体"/>
          <w:color w:val="auto"/>
          <w:sz w:val="18"/>
        </w:rPr>
        <w:t>图7 用户认证流程图</w:t>
      </w:r>
    </w:p>
    <w:bookmarkEnd w:id="86"/>
    <w:p w14:paraId="27DA0803">
      <w:pPr>
        <w:pStyle w:val="6"/>
      </w:pPr>
      <w:bookmarkStart w:id="87" w:name="基础数据与订单协同功能设计"/>
      <w:r>
        <w:t>4.5.2 基础数据与订单协同功能设计</w:t>
      </w:r>
    </w:p>
    <w:p w14:paraId="7A895A09">
      <w:pPr>
        <w:spacing w:before="0" w:after="0" w:line="360" w:lineRule="auto"/>
        <w:ind w:firstLine="480"/>
        <w:jc w:val="both"/>
        <w:rPr>
          <w:rFonts w:hint="eastAsia" w:eastAsia="宋体"/>
          <w:lang w:eastAsia="zh-CN"/>
        </w:rPr>
      </w:pPr>
      <w:r>
        <w:t xml:space="preserve">基础数据与订单协同承担仓储业务的前置整理工作. 仓库、供应商、客户、银行卡、科目、车辆、车队和产品级别为后续入库、出库、运费、付款和统计提供统一引用来源，其中产品级别用于表达玻璃的厚度、长度、宽度和计量单位，车辆与车队用于承接运输履约，银行卡与科目用于承接资金流向，是库存和订单能够准确建模的前提. </w:t>
      </w:r>
    </w:p>
    <w:p w14:paraId="54EA7725">
      <w:pPr>
        <w:spacing w:before="0" w:after="0" w:line="360" w:lineRule="auto"/>
        <w:ind w:firstLine="480"/>
        <w:jc w:val="both"/>
        <w:rPr>
          <w:rFonts w:hint="eastAsia" w:eastAsia="宋体"/>
          <w:lang w:eastAsia="zh-CN"/>
        </w:rPr>
      </w:pPr>
      <w:r>
        <w:t xml:space="preserve">订单协同部分主要负责订单录入、订单查询与订单执行追踪. 系统并不将订单视为孤立业务，而是把订单编号与入库、出库等后续记录建立关联，使用户可以从订单视角追踪库存形成和出库执行情况. 这样既便于仓库业务员查看业务来源，也为后续统计分析提供统一的业务主线. </w:t>
      </w:r>
    </w:p>
    <w:bookmarkEnd w:id="87"/>
    <w:p w14:paraId="7DC9A4C3">
      <w:pPr>
        <w:pStyle w:val="6"/>
      </w:pPr>
      <w:bookmarkStart w:id="88" w:name="入库管理功能设计"/>
      <w:r>
        <w:t>4.5.3 入库管理功能设计</w:t>
      </w:r>
    </w:p>
    <w:p w14:paraId="2964E18A">
      <w:pPr>
        <w:spacing w:before="0" w:after="0" w:line="360" w:lineRule="auto"/>
        <w:ind w:firstLine="480"/>
        <w:jc w:val="both"/>
        <w:rPr>
          <w:rFonts w:hint="eastAsia" w:eastAsia="宋体"/>
          <w:lang w:eastAsia="zh-CN"/>
        </w:rPr>
      </w:pPr>
      <w:r>
        <w:t xml:space="preserve">入库环节先解决数据进入系统的问题. 页面应采集入库日期、仓库、陆运车辆、海运柜号、司机电话、银行账号、供应商或库房来源、产品级别等主信息，同时记录厚度、长度、宽度、总片数、包数和入库金额等明细字段. 前端负责基本格式校验，后端继续检查关键字段，避免不完整记录进入库存体系. </w:t>
      </w:r>
    </w:p>
    <w:p w14:paraId="1CE8C668">
      <w:pPr>
        <w:spacing w:before="0" w:after="0" w:line="360" w:lineRule="auto"/>
        <w:ind w:firstLine="480"/>
        <w:jc w:val="both"/>
        <w:rPr>
          <w:rFonts w:hint="eastAsia" w:eastAsia="宋体"/>
          <w:lang w:eastAsia="zh-CN"/>
        </w:rPr>
      </w:pPr>
      <w:r>
        <w:t xml:space="preserve">数据保存时，入库主单描述一次作业的整体情况，库存明细描述每类玻璃的规格、数量和金额. 主从结构使用户既能查看某次入库的整体记录，也能追踪某一规格玻璃的库存来源. </w:t>
      </w:r>
    </w:p>
    <w:p w14:paraId="5C45205F">
      <w:pPr>
        <w:spacing w:before="0" w:after="0" w:line="360" w:lineRule="auto"/>
        <w:ind w:firstLine="480"/>
        <w:jc w:val="both"/>
      </w:pPr>
      <w:r>
        <w:t xml:space="preserve">入库结果还会被入库统计、仓库变动明细和库存余额表引用，因此该功能不能只完成保存动作，还要为后续查询、导出和问题回查提供稳定数据来源. </w:t>
      </w:r>
    </w:p>
    <w:bookmarkEnd w:id="88"/>
    <w:p w14:paraId="54C3EF89">
      <w:pPr>
        <w:pStyle w:val="6"/>
      </w:pPr>
      <w:r>
        <w:t>4.5.4 出库管理功能设计</w:t>
      </w:r>
    </w:p>
    <w:p w14:paraId="7AD819FA">
      <w:pPr>
        <w:spacing w:before="0" w:after="0" w:line="360" w:lineRule="auto"/>
        <w:ind w:firstLine="480"/>
        <w:jc w:val="both"/>
        <w:rPr>
          <w:rFonts w:hint="eastAsia" w:eastAsia="宋体"/>
          <w:lang w:eastAsia="zh-CN"/>
        </w:rPr>
      </w:pPr>
      <w:r>
        <w:t xml:space="preserve">出库管理要解决的不是简单扣减库存，而是说明这批玻璃为什么离开仓库. 系统把出库场景拆成正常发货、加工后出库和破损出库三类，是为了在后续查询时保留业务解释. </w:t>
      </w:r>
    </w:p>
    <w:p w14:paraId="2E793F23">
      <w:pPr>
        <w:spacing w:before="0" w:after="0" w:line="360" w:lineRule="auto"/>
        <w:ind w:firstLine="480"/>
        <w:jc w:val="both"/>
        <w:rPr>
          <w:rFonts w:hint="eastAsia" w:eastAsia="宋体"/>
          <w:lang w:eastAsia="zh-CN"/>
        </w:rPr>
      </w:pPr>
      <w:r>
        <w:t xml:space="preserve">正常发货通常与订单履约相关，需要记录订单编号、仓库、日期和出库数量；加工后出库表示货物经过处理后再次流转；破损出库则用于登记非正常损耗. 三类记录都会影响库存数量，但对管理人员判断库存变化原因的意义不同. </w:t>
      </w:r>
    </w:p>
    <w:p w14:paraId="308D4EB3">
      <w:pPr>
        <w:spacing w:before="0" w:after="0" w:line="360" w:lineRule="auto"/>
        <w:ind w:firstLine="480"/>
        <w:jc w:val="both"/>
        <w:rPr>
          <w:rFonts w:hint="eastAsia" w:eastAsia="宋体"/>
          <w:lang w:eastAsia="zh-CN"/>
        </w:rPr>
      </w:pPr>
      <w:r>
        <w:t xml:space="preserve">实现上，系统仍采用统一的出库记录结构保存数据，再通过出库方向和业务标识区分场景. 这样既便于统计页面统一汇总，也能在查看明细时解释每一次库存减少对应的真实业务原因. </w:t>
      </w:r>
    </w:p>
    <w:p w14:paraId="0CADC391">
      <w:pPr>
        <w:pStyle w:val="6"/>
      </w:pPr>
      <w:bookmarkStart w:id="89" w:name="库存审核与附件维护功能设计"/>
      <w:r>
        <w:t>4.5.5 库存审核与附件维护功能设计</w:t>
      </w:r>
    </w:p>
    <w:p w14:paraId="0021768D">
      <w:pPr>
        <w:spacing w:before="0" w:after="0" w:line="360" w:lineRule="auto"/>
        <w:ind w:firstLine="480"/>
        <w:jc w:val="both"/>
        <w:rPr>
          <w:rFonts w:hint="eastAsia" w:eastAsia="宋体"/>
          <w:lang w:eastAsia="zh-CN"/>
        </w:rPr>
      </w:pPr>
      <w:r>
        <w:t xml:space="preserve">审核功能用于处理库存记录确认后的受控修改问题，附件功能用于补齐业务单据、图片或说明材料. 二者结合后，库存记录不仅有状态控制，也有过程资料支撑. </w:t>
      </w:r>
    </w:p>
    <w:p w14:paraId="5233174C">
      <w:pPr>
        <w:spacing w:before="0" w:after="0" w:line="360" w:lineRule="auto"/>
        <w:ind w:firstLine="480"/>
        <w:jc w:val="both"/>
        <w:rPr>
          <w:rFonts w:hint="eastAsia" w:eastAsia="宋体"/>
          <w:lang w:eastAsia="zh-CN"/>
        </w:rPr>
      </w:pPr>
      <w:r>
        <w:t xml:space="preserve">库存记录一旦参与余额和金额统计，就不应再像草稿一样任意修改. 审核通过后，页面可编辑性和后续操作范围需要随状态收紧；若撤销审核，也要同步回写状态并恢复必要操作. </w:t>
      </w:r>
    </w:p>
    <w:p w14:paraId="7E8127E5">
      <w:pPr>
        <w:spacing w:before="0" w:after="0" w:line="360" w:lineRule="auto"/>
        <w:ind w:firstLine="480"/>
        <w:jc w:val="both"/>
        <w:rPr>
          <w:rFonts w:hint="eastAsia" w:eastAsia="宋体"/>
          <w:lang w:eastAsia="zh-CN"/>
        </w:rPr>
      </w:pPr>
      <w:r>
        <w:t xml:space="preserve">附件维护面向订单和库存记录，支持在业务过程中补传资料. 对于已经审核的记录，系统允许在受控范围内继续补充附件，用于处理纸质单据晚到或资料补充的情况. </w:t>
      </w:r>
    </w:p>
    <w:bookmarkEnd w:id="89"/>
    <w:p w14:paraId="73CC205F">
      <w:pPr>
        <w:pStyle w:val="6"/>
      </w:pPr>
      <w:bookmarkStart w:id="90" w:name="仓库余额与变动明细功能设计"/>
      <w:r>
        <w:t>4.5.6 仓库余额与变动明细功能设计</w:t>
      </w:r>
    </w:p>
    <w:p w14:paraId="06CE6408">
      <w:pPr>
        <w:spacing w:before="0" w:after="0" w:line="360" w:lineRule="auto"/>
        <w:ind w:firstLine="480"/>
        <w:jc w:val="both"/>
        <w:rPr>
          <w:rFonts w:hint="eastAsia" w:eastAsia="宋体"/>
          <w:lang w:eastAsia="zh-CN"/>
        </w:rPr>
      </w:pPr>
      <w:r>
        <w:t xml:space="preserve">仓库余额与变动明细面向管理核对，不是单纯的页面列表. 库存余额反映某一日期各仓库的存货金额，变动明细则把指定时间段内的入库金额、出库金额和库房存货金额串联起来. </w:t>
      </w:r>
    </w:p>
    <w:p w14:paraId="37E9B213">
      <w:pPr>
        <w:spacing w:before="0" w:after="0" w:line="360" w:lineRule="auto"/>
        <w:ind w:firstLine="480"/>
        <w:jc w:val="both"/>
        <w:rPr>
          <w:rFonts w:hint="eastAsia" w:eastAsia="宋体"/>
          <w:lang w:eastAsia="zh-CN"/>
        </w:rPr>
      </w:pPr>
      <w:r>
        <w:t xml:space="preserve">这两个视图都建立在库存主单、库存明细和出库记录之上. 用户查看汇总结果时，还应能继续回到具体入库明细或出库详情，形成从结果到原始记录的追踪路径. </w:t>
      </w:r>
    </w:p>
    <w:p w14:paraId="11CCA548">
      <w:pPr>
        <w:spacing w:before="0" w:after="0" w:line="360" w:lineRule="auto"/>
        <w:ind w:firstLine="480"/>
        <w:jc w:val="both"/>
        <w:rPr>
          <w:rFonts w:hint="eastAsia" w:eastAsia="宋体"/>
          <w:lang w:eastAsia="zh-CN"/>
        </w:rPr>
      </w:pPr>
      <w:r>
        <w:t xml:space="preserve">因此，余额与明细功能既服务日常核对，也为管理人员观察库存波动提供入口. </w:t>
      </w:r>
    </w:p>
    <w:bookmarkEnd w:id="90"/>
    <w:p w14:paraId="7D5926BB">
      <w:pPr>
        <w:pStyle w:val="6"/>
      </w:pPr>
      <w:bookmarkStart w:id="91" w:name="事件驱动联动与请求级缓存设计"/>
      <w:r>
        <w:t>4.5.7 事件驱动联动与请求级缓存设计</w:t>
      </w:r>
    </w:p>
    <w:p w14:paraId="098A04F9">
      <w:pPr>
        <w:spacing w:before="0" w:after="0" w:line="360" w:lineRule="auto"/>
        <w:ind w:firstLine="480"/>
        <w:jc w:val="both"/>
        <w:rPr>
          <w:rFonts w:hint="eastAsia" w:eastAsia="宋体"/>
          <w:lang w:eastAsia="zh-CN"/>
        </w:rPr>
      </w:pPr>
      <w:r>
        <w:t xml:space="preserve">事件驱动用于处理跨模块联动. 入库、出库、审核和主数据更新会带来参数补齐、编号生成、库存联动、状态回写和冗余字段刷新等附加动作，如果全部写入一个服务方法，逻辑会很难维护. 系统通过AOP和观察者模式拆分这些动作，工作原理见第2章图3. </w:t>
      </w:r>
    </w:p>
    <w:p w14:paraId="13B020F2">
      <w:pPr>
        <w:spacing w:before="0" w:after="0" w:line="360" w:lineRule="auto"/>
        <w:ind w:firstLine="480"/>
        <w:jc w:val="both"/>
        <w:rPr>
          <w:rFonts w:hint="eastAsia" w:eastAsia="宋体"/>
          <w:lang w:eastAsia="zh-CN"/>
        </w:rPr>
      </w:pPr>
      <w:r>
        <w:t xml:space="preserve">在该机制下，服务层先完成主业务，事件发布器在约定节点发出事件，监听器再处理各自负责的附加逻辑. 入库形成库存、出库同步状态、主数据变更刷新冗余字段等操作都可以沿用这一模式. </w:t>
      </w:r>
    </w:p>
    <w:p w14:paraId="3E728B22">
      <w:pPr>
        <w:spacing w:before="0" w:after="0" w:line="360" w:lineRule="auto"/>
        <w:ind w:firstLine="480"/>
        <w:jc w:val="both"/>
        <w:rPr>
          <w:rFonts w:ascii="sans-serif" w:hAnsi="sans-serif" w:eastAsia="sans-serif" w:cs="sans-serif"/>
          <w:i w:val="0"/>
          <w:iCs w:val="0"/>
          <w:caps w:val="0"/>
          <w:color w:val="FFFFFF"/>
          <w:spacing w:val="0"/>
        </w:rPr>
      </w:pPr>
      <w:r>
        <w:t xml:space="preserve">一次请求可能触发多个监听器访问同一实体，系统因此加入请求级线程缓存. 缓存按命名空间保存，写操作发生时按表名清理相关数据，以减少重复查询，同时避免缓存结果长期影响库存判断. 其组件关系如图8所示. </w:t>
      </w:r>
    </w:p>
    <w:p w14:paraId="2E965488">
      <w:pPr>
        <w:keepNext w:val="0"/>
        <w:keepLines w:val="0"/>
        <w:pageBreakBefore w:val="0"/>
        <w:widowControl/>
        <w:suppressLineNumbers w:val="0"/>
        <w:kinsoku/>
        <w:wordWrap/>
        <w:overflowPunct/>
        <w:topLinePunct w:val="0"/>
        <w:autoSpaceDE/>
        <w:autoSpaceDN/>
        <w:bidi w:val="0"/>
        <w:adjustRightInd/>
        <w:snapToGrid w:val="0"/>
        <w:ind w:firstLine="0" w:firstLineChars="0"/>
        <w:jc w:val="center"/>
        <w:textAlignment w:val="auto"/>
        <w:rPr>
          <w:rFonts w:hint="eastAsia" w:eastAsia="宋体"/>
          <w:lang w:eastAsia="zh-CN"/>
        </w:rPr>
      </w:pPr>
      <w:r>
        <w:rPr>
          <w:i w:val="0"/>
          <w:iCs w:val="0"/>
        </w:rPr>
        <w:drawing>
          <wp:inline distT="0" distB="0" distL="114300" distR="114300">
            <wp:extent cx="5523865" cy="3328670"/>
            <wp:effectExtent l="0" t="0" r="13335" b="241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8"/>
                    <a:stretch>
                      <a:fillRect/>
                    </a:stretch>
                  </pic:blipFill>
                  <pic:spPr>
                    <a:xfrm>
                      <a:off x="0" y="0"/>
                      <a:ext cx="5523865" cy="3328670"/>
                    </a:xfrm>
                    <a:prstGeom prst="rect">
                      <a:avLst/>
                    </a:prstGeom>
                    <a:noFill/>
                    <a:ln w="9525">
                      <a:noFill/>
                    </a:ln>
                  </pic:spPr>
                </pic:pic>
              </a:graphicData>
            </a:graphic>
          </wp:inline>
        </w:drawing>
      </w:r>
    </w:p>
    <w:p w14:paraId="17680102">
      <w:pPr>
        <w:bidi w:val="0"/>
        <w:jc w:val="center"/>
        <w:rPr>
          <w:rFonts w:ascii="宋体" w:hAnsi="宋体" w:eastAsia="宋体" w:cs="宋体"/>
          <w:color w:val="auto"/>
          <w:sz w:val="18"/>
        </w:rPr>
      </w:pPr>
      <w:r>
        <w:rPr>
          <w:rFonts w:ascii="宋体" w:hAnsi="宋体" w:eastAsia="宋体" w:cs="宋体"/>
          <w:color w:val="auto"/>
          <w:sz w:val="18"/>
        </w:rPr>
        <w:t>图8 事件线程缓存组件架构图</w:t>
      </w:r>
    </w:p>
    <w:bookmarkEnd w:id="91"/>
    <w:p w14:paraId="47ECC994">
      <w:pPr>
        <w:pStyle w:val="6"/>
      </w:pPr>
      <w:bookmarkStart w:id="92" w:name="异步导出与进度反馈功能设计"/>
      <w:r>
        <w:t>4.5.8 异步导出与进度反馈功能设计</w:t>
      </w:r>
    </w:p>
    <w:p w14:paraId="5AAA9C6E">
      <w:pPr>
        <w:spacing w:before="0" w:after="0" w:line="360" w:lineRule="auto"/>
        <w:ind w:firstLine="480"/>
        <w:jc w:val="both"/>
        <w:rPr>
          <w:rFonts w:hint="eastAsia" w:eastAsia="宋体"/>
          <w:lang w:eastAsia="zh-CN"/>
        </w:rPr>
      </w:pPr>
      <w:r>
        <w:t xml:space="preserve">仓储导出通常面向批量数据，涉及入库记录、出库记录、库存余额表和仓库变动明细. 为避免用户在页面上长时间等待，系统把大数据量导出交给后台任务执行，并通过WebSocket回传状态. </w:t>
      </w:r>
    </w:p>
    <w:p w14:paraId="19548B86">
      <w:pPr>
        <w:spacing w:before="0" w:after="0" w:line="360" w:lineRule="auto"/>
        <w:ind w:firstLine="480"/>
        <w:jc w:val="both"/>
        <w:rPr>
          <w:rFonts w:hint="eastAsia" w:eastAsia="宋体"/>
          <w:lang w:eastAsia="zh-CN"/>
        </w:rPr>
      </w:pPr>
      <w:r>
        <w:t xml:space="preserve">导出服务使用统一上下文记录处理顺序、任务状态和异常信息. 各业务处理器只生成自己负责的数据文件，统一导出服务再做调度、打包和汇总. 导出参与组件关系如图9所示. </w:t>
      </w:r>
    </w:p>
    <w:p w14:paraId="5746382C">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6179820" cy="4301490"/>
            <wp:effectExtent l="0" t="0" r="17780" b="16510"/>
            <wp:docPr id="138" name="Picture" descr="图9 异步导出参与组件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descr="图9 异步导出参与组件关系图"/>
                    <pic:cNvPicPr>
                      <a:picLocks noChangeAspect="1" noChangeArrowheads="1"/>
                    </pic:cNvPicPr>
                  </pic:nvPicPr>
                  <pic:blipFill>
                    <a:blip r:embed="rId29"/>
                    <a:stretch>
                      <a:fillRect/>
                    </a:stretch>
                  </pic:blipFill>
                  <pic:spPr>
                    <a:xfrm>
                      <a:off x="0" y="0"/>
                      <a:ext cx="6179820" cy="4301490"/>
                    </a:xfrm>
                    <a:prstGeom prst="rect">
                      <a:avLst/>
                    </a:prstGeom>
                    <a:noFill/>
                    <a:ln w="9525">
                      <a:noFill/>
                    </a:ln>
                  </pic:spPr>
                </pic:pic>
              </a:graphicData>
            </a:graphic>
          </wp:inline>
        </w:drawing>
      </w:r>
    </w:p>
    <w:p w14:paraId="56D3373E">
      <w:pPr>
        <w:bidi w:val="0"/>
        <w:jc w:val="center"/>
        <w:rPr>
          <w:rFonts w:ascii="宋体" w:hAnsi="宋体" w:eastAsia="宋体" w:cs="宋体"/>
          <w:color w:val="auto"/>
          <w:sz w:val="18"/>
        </w:rPr>
      </w:pPr>
      <w:r>
        <w:rPr>
          <w:rFonts w:ascii="宋体" w:hAnsi="宋体" w:eastAsia="宋体" w:cs="宋体"/>
          <w:color w:val="auto"/>
          <w:sz w:val="18"/>
        </w:rPr>
        <w:t>图9 异步导出参与组件关系图</w:t>
      </w:r>
    </w:p>
    <w:p w14:paraId="562078AA">
      <w:pPr>
        <w:spacing w:before="0" w:after="0" w:line="360" w:lineRule="auto"/>
        <w:ind w:firstLine="480"/>
        <w:jc w:val="both"/>
        <w:rPr>
          <w:rFonts w:hint="eastAsia" w:eastAsia="宋体"/>
          <w:lang w:eastAsia="zh-CN"/>
        </w:rPr>
      </w:pPr>
      <w:r>
        <w:t xml:space="preserve">完整生命周期上，导出请求首先进入统一调度入口，随后系统创建导出任务上下文、逐个执行业务处理器、汇总单表结果并形成最终压缩文件. 导出生命周期如图10所示. </w:t>
      </w:r>
    </w:p>
    <w:p w14:paraId="3615E586">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879465" cy="4146550"/>
            <wp:effectExtent l="0" t="0" r="13335" b="19050"/>
            <wp:docPr id="141" name="Picture" descr="图10 导出任务完整生命周期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descr="图10 导出任务完整生命周期流程图"/>
                    <pic:cNvPicPr>
                      <a:picLocks noChangeAspect="1" noChangeArrowheads="1"/>
                    </pic:cNvPicPr>
                  </pic:nvPicPr>
                  <pic:blipFill>
                    <a:blip r:embed="rId30"/>
                    <a:stretch>
                      <a:fillRect/>
                    </a:stretch>
                  </pic:blipFill>
                  <pic:spPr>
                    <a:xfrm>
                      <a:off x="0" y="0"/>
                      <a:ext cx="5879465" cy="4146550"/>
                    </a:xfrm>
                    <a:prstGeom prst="rect">
                      <a:avLst/>
                    </a:prstGeom>
                    <a:noFill/>
                    <a:ln w="9525">
                      <a:noFill/>
                    </a:ln>
                  </pic:spPr>
                </pic:pic>
              </a:graphicData>
            </a:graphic>
          </wp:inline>
        </w:drawing>
      </w:r>
    </w:p>
    <w:p w14:paraId="4276235D">
      <w:pPr>
        <w:bidi w:val="0"/>
        <w:jc w:val="center"/>
        <w:rPr>
          <w:rFonts w:ascii="宋体" w:hAnsi="宋体" w:eastAsia="宋体" w:cs="宋体"/>
          <w:color w:val="auto"/>
          <w:sz w:val="18"/>
        </w:rPr>
      </w:pPr>
      <w:r>
        <w:rPr>
          <w:rFonts w:ascii="宋体" w:hAnsi="宋体" w:eastAsia="宋体" w:cs="宋体"/>
          <w:color w:val="auto"/>
          <w:sz w:val="18"/>
        </w:rPr>
        <w:t>图10 导出任务完整生命周期流程图</w:t>
      </w:r>
    </w:p>
    <w:p w14:paraId="02084BBA">
      <w:pPr>
        <w:spacing w:before="0" w:after="0" w:line="360" w:lineRule="auto"/>
        <w:ind w:firstLine="480"/>
        <w:jc w:val="both"/>
        <w:rPr>
          <w:rFonts w:hint="eastAsia" w:eastAsia="宋体"/>
          <w:lang w:eastAsia="zh-CN"/>
        </w:rPr>
      </w:pPr>
      <w:r>
        <w:t xml:space="preserve">交互上，SockJS与STOMP建立WebSocket通道后，服务端推送当前处理模块、进度百分比和异常信息；前端由Vuex保存导出状态，并驱动页面进度条更新. 其交互关系如图11所示. </w:t>
      </w:r>
    </w:p>
    <w:p w14:paraId="1491E791">
      <w:pPr>
        <w:keepNext w:val="0"/>
        <w:keepLines w:val="0"/>
        <w:pageBreakBefore w:val="0"/>
        <w:widowControl w:val="0"/>
        <w:kinsoku/>
        <w:wordWrap/>
        <w:overflowPunct/>
        <w:topLinePunct w:val="0"/>
        <w:autoSpaceDE/>
        <w:autoSpaceDN/>
        <w:bidi w:val="0"/>
        <w:adjustRightInd/>
        <w:snapToGrid/>
        <w:spacing w:before="0" w:after="0"/>
        <w:ind w:firstLine="0" w:firstLineChars="0"/>
        <w:jc w:val="center"/>
        <w:textAlignment w:val="auto"/>
      </w:pPr>
      <w:r>
        <w:drawing>
          <wp:inline distT="0" distB="0" distL="114300" distR="114300">
            <wp:extent cx="5895340" cy="5701030"/>
            <wp:effectExtent l="0" t="0" r="22860" b="13970"/>
            <wp:docPr id="144" name="Picture" descr="图11 异步脱钩与进度推送交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图11 异步脱钩与进度推送交互图"/>
                    <pic:cNvPicPr>
                      <a:picLocks noChangeAspect="1" noChangeArrowheads="1"/>
                    </pic:cNvPicPr>
                  </pic:nvPicPr>
                  <pic:blipFill>
                    <a:blip r:embed="rId31"/>
                    <a:stretch>
                      <a:fillRect/>
                    </a:stretch>
                  </pic:blipFill>
                  <pic:spPr>
                    <a:xfrm>
                      <a:off x="0" y="0"/>
                      <a:ext cx="5895340" cy="5701030"/>
                    </a:xfrm>
                    <a:prstGeom prst="rect">
                      <a:avLst/>
                    </a:prstGeom>
                    <a:noFill/>
                    <a:ln w="9525">
                      <a:noFill/>
                    </a:ln>
                  </pic:spPr>
                </pic:pic>
              </a:graphicData>
            </a:graphic>
          </wp:inline>
        </w:drawing>
      </w:r>
    </w:p>
    <w:p w14:paraId="406F92EC">
      <w:pPr>
        <w:bidi w:val="0"/>
        <w:jc w:val="center"/>
        <w:rPr>
          <w:rFonts w:ascii="宋体" w:hAnsi="宋体" w:eastAsia="宋体" w:cs="宋体"/>
          <w:color w:val="auto"/>
          <w:sz w:val="18"/>
        </w:rPr>
      </w:pPr>
      <w:r>
        <w:rPr>
          <w:rFonts w:ascii="宋体" w:hAnsi="宋体" w:eastAsia="宋体" w:cs="宋体"/>
          <w:color w:val="auto"/>
          <w:sz w:val="18"/>
        </w:rPr>
        <w:t>图11 异步脱钩与进度推送交互图</w:t>
      </w:r>
    </w:p>
    <w:bookmarkEnd w:id="62"/>
    <w:bookmarkEnd w:id="85"/>
    <w:bookmarkEnd w:id="92"/>
    <w:p w14:paraId="2598A2D7">
      <w:pPr>
        <w:pStyle w:val="2"/>
      </w:pPr>
      <w:bookmarkStart w:id="93" w:name="_Toc328103139"/>
      <w:bookmarkStart w:id="94" w:name="_Toc010019"/>
      <w:bookmarkStart w:id="95" w:name="_Toc721334067"/>
      <w:bookmarkStart w:id="96" w:name="系统实现"/>
      <w:r>
        <w:t>5 系统实现</w:t>
      </w:r>
      <w:bookmarkEnd w:id="93"/>
      <w:bookmarkEnd w:id="94"/>
      <w:bookmarkEnd w:id="95"/>
    </w:p>
    <w:p w14:paraId="4E24DA93">
      <w:pPr>
        <w:pStyle w:val="3"/>
      </w:pPr>
      <w:bookmarkStart w:id="97" w:name="_Toc1838935324"/>
      <w:bookmarkStart w:id="98" w:name="_Toc010020"/>
      <w:bookmarkStart w:id="99" w:name="_Toc916476754"/>
      <w:bookmarkStart w:id="100" w:name="用户与权限管理模块实现"/>
      <w:r>
        <w:t>5.1 用户与权限管理模块实现</w:t>
      </w:r>
      <w:bookmarkEnd w:id="97"/>
      <w:bookmarkEnd w:id="98"/>
      <w:bookmarkEnd w:id="99"/>
    </w:p>
    <w:p w14:paraId="35A7AD15">
      <w:pPr>
        <w:spacing w:before="0" w:after="0" w:line="360" w:lineRule="auto"/>
        <w:ind w:firstLine="480"/>
        <w:jc w:val="both"/>
        <w:rPr>
          <w:rFonts w:hint="eastAsia" w:eastAsia="宋体"/>
          <w:lang w:eastAsia="zh-CN"/>
        </w:rPr>
      </w:pPr>
      <w:r>
        <w:t xml:space="preserve">用户与权限模块同时约束页面入口和接口访问. permission.js在路由跳转时检查token和角色，未登录用户进入登录页，已登录用户调用GenerateRoutes获取菜单；store/modules/permission.js负责把后端菜单转换成前端路由. </w:t>
      </w:r>
    </w:p>
    <w:p w14:paraId="57065E65">
      <w:pPr>
        <w:spacing w:before="0" w:after="0" w:line="360" w:lineRule="auto"/>
        <w:ind w:firstLine="480"/>
        <w:jc w:val="both"/>
        <w:rPr>
          <w:rFonts w:hint="eastAsia" w:eastAsia="宋体"/>
          <w:lang w:eastAsia="zh-CN"/>
        </w:rPr>
      </w:pPr>
      <w:r>
        <w:t xml:space="preserve">接口层由utils/request.js统一处理. Axios实例负责写入鉴权令牌、拦截重复提交并处理异常响应；会话失效时提示重新登录. 这样，用户即使绕过菜单，也仍需通过接口鉴权. </w:t>
      </w:r>
    </w:p>
    <w:bookmarkEnd w:id="100"/>
    <w:p w14:paraId="2EA0DC03">
      <w:pPr>
        <w:pStyle w:val="3"/>
      </w:pPr>
      <w:bookmarkStart w:id="101" w:name="_Toc401342844"/>
      <w:bookmarkStart w:id="102" w:name="_Toc1472088194"/>
      <w:bookmarkStart w:id="103" w:name="_Toc010021"/>
      <w:bookmarkStart w:id="104" w:name="基础数据管理模块实现"/>
      <w:r>
        <w:t>5.2 基础数据管理模块实现</w:t>
      </w:r>
      <w:bookmarkEnd w:id="101"/>
      <w:bookmarkEnd w:id="102"/>
      <w:bookmarkEnd w:id="103"/>
    </w:p>
    <w:p w14:paraId="263C3925">
      <w:pPr>
        <w:pStyle w:val="6"/>
      </w:pPr>
      <w:bookmarkStart w:id="105" w:name="仓库供应商与客户管理"/>
      <w:r>
        <w:t>5.2.1 基础资料维护</w:t>
      </w:r>
    </w:p>
    <w:bookmarkEnd w:id="104"/>
    <w:bookmarkEnd w:id="105"/>
    <w:p w14:paraId="1497A631">
      <w:pPr>
        <w:spacing w:before="0" w:after="0" w:line="360" w:lineRule="auto"/>
        <w:ind w:firstLine="480"/>
        <w:jc w:val="both"/>
        <w:rPr>
          <w:rFonts w:hint="eastAsia" w:eastAsia="宋体"/>
          <w:lang w:eastAsia="zh-CN"/>
        </w:rPr>
      </w:pPr>
      <w:r>
        <w:t>基础资料主要通过后端 CompanyController、BankAccountController、CarsController、VehiclesController、FleetController、SubjectController、StoreHouseController、ProductLevelController、OilCardController 等接口维护. 页面层面集中放在“基础信息维护”菜单下，覆盖客户信息、供应商信息、产品级别、银行卡信息、车辆信息、科目、仓库、车队、公司车辆信息和公司加油卡等入口. 这些资料不是孤立的字典表，而是订单录入、入库登记、出库处理、运费记录、付款收款和统计查询的共同引用来源</w:t>
      </w:r>
      <w:r>
        <w:rPr>
          <w:rFonts w:hint="default"/>
          <w:vertAlign w:val="superscript"/>
          <w:lang w:val="en-US"/>
        </w:rPr>
        <w:fldChar w:fldCharType="begin"/>
      </w:r>
      <w:r>
        <w:instrText xml:space="preserve"> REF _Ref1942421545 \r \h  \* MERGEFORMAT</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t>.</w:t>
      </w:r>
    </w:p>
    <w:p w14:paraId="1CEE790E">
      <w:pPr>
        <w:spacing w:before="0" w:after="0" w:line="360" w:lineRule="auto"/>
        <w:ind w:firstLine="480"/>
        <w:jc w:val="both"/>
        <w:rPr>
          <w:rFonts w:hint="eastAsia" w:eastAsia="宋体"/>
          <w:lang w:eastAsia="zh-CN"/>
        </w:rPr>
      </w:pPr>
      <w:r>
        <w:t>客户信息和供应商信息用于维护往来主体资料，页面提供名称、联系人、联系电话、销售经理、区域、地址、备注等字段，并在操作列提供银行卡号、编辑和删除等入口. 客户主要服务于订单来源、销售跟踪和出库去向，供应商主要服务于采购来源、库存形成和供应商余额核对. 两类主体在业务链路中都需要保持名称和账户口径稳定，避免同一企业在订单、库存和资金统计中出现重复或不一致记录.</w:t>
      </w:r>
    </w:p>
    <w:p w14:paraId="4285273F">
      <w:pPr>
        <w:spacing w:before="0" w:after="0" w:line="360" w:lineRule="auto"/>
        <w:ind w:firstLine="480"/>
        <w:jc w:val="both"/>
        <w:rPr>
          <w:rFonts w:hint="eastAsia" w:eastAsia="宋体"/>
          <w:lang w:eastAsia="zh-CN"/>
        </w:rPr>
      </w:pPr>
      <w:r>
        <w:t>产品级别和仓库用于描述货物规格与存放位置. 产品级别页面维护级别编码、级别名称、分类、厚度、长度、宽度、吨位等信息，后续订单明细、库存明细和统计报表都以该资料作为规格口径. 仓库页面维护仓库名称和地址，入库主单、出库记录、库存余额和仓库资金变动明细均需要引用仓库资料，因此仓库信息的准确性会直接影响库存归属和统计结果.</w:t>
      </w:r>
    </w:p>
    <w:p w14:paraId="514AFD3D">
      <w:pPr>
        <w:spacing w:before="0" w:after="0" w:line="360" w:lineRule="auto"/>
        <w:ind w:firstLine="480"/>
        <w:jc w:val="both"/>
        <w:rPr>
          <w:rFonts w:hint="eastAsia" w:eastAsia="宋体"/>
          <w:lang w:eastAsia="zh-CN"/>
        </w:rPr>
      </w:pPr>
      <w:r>
        <w:t>银行卡信息、科目和公司加油卡用于支撑资金与费用相关处理. 银行卡页面维护账户类型、开户名、银行账号、开户行、账户状态和余额等内容，并与客户、供应商、司机或己方主体关联；科目页面以树形结构维护科目编号、科目类别和启停状态，用于后续费用、凭证或资金分类；公司加油卡页面维护油卡卡号、余额、状态和相关备注，便于油卡充值、消费和资金转移等业务引用.</w:t>
      </w:r>
    </w:p>
    <w:p w14:paraId="3491C6FD">
      <w:pPr>
        <w:spacing w:before="0" w:after="0" w:line="360" w:lineRule="auto"/>
        <w:ind w:firstLine="480"/>
        <w:jc w:val="both"/>
        <w:rPr>
          <w:rFonts w:hint="eastAsia" w:eastAsia="宋体"/>
          <w:lang w:eastAsia="zh-CN"/>
        </w:rPr>
      </w:pPr>
      <w:r>
        <w:t>车辆信息、车队和公司车辆信息用于支撑运输履约. 车辆信息页面维护陆运车牌或海运柜号、司机或海运公司、电话、开户行、户名、账号和运输类型；车队页面维护车队名称、负责人、联系电话和地址；公司车辆信息页面记录车辆型号、车牌号、购买日期、里程、保养费用、保险费用和附件等内容. 这些资料会进入订单、入库、运费、出差和车辆申请等业务，帮助企业把订单履约、承运主体和费用结果关联起来.</w:t>
      </w:r>
    </w:p>
    <w:p w14:paraId="6145D56F">
      <w:pPr>
        <w:spacing w:before="0" w:after="0" w:line="360" w:lineRule="auto"/>
        <w:ind w:firstLine="480"/>
        <w:jc w:val="both"/>
        <w:rPr>
          <w:rFonts w:hint="eastAsia" w:eastAsia="宋体"/>
          <w:lang w:eastAsia="zh-CN"/>
        </w:rPr>
      </w:pPr>
      <w:r>
        <w:t>实现时，基础资料页面更强调字段规范和引用稳定性. 已经被订单、库存、运费或资金记录使用的数据不宜随意物理删除，后续展示名称变化也需要结合冗余字段刷新处理，避免历史记录前后显示不一致. 因此，基础信息维护模块在系统中承担的是统一业务口径的作用，而不仅是简单的增删改查页面.</w:t>
      </w:r>
    </w:p>
    <w:p w14:paraId="05EE0982">
      <w:pPr>
        <w:pStyle w:val="6"/>
      </w:pPr>
      <w:r>
        <w:t>5.2.2 基础信息维护页面实现</w:t>
      </w:r>
    </w:p>
    <w:p w14:paraId="1E162B91">
      <w:pPr>
        <w:spacing w:before="0" w:after="0" w:line="360" w:lineRule="auto"/>
        <w:ind w:firstLine="480"/>
        <w:jc w:val="both"/>
        <w:rPr>
          <w:rFonts w:hint="eastAsia" w:eastAsia="宋体"/>
          <w:lang w:eastAsia="zh-CN"/>
        </w:rPr>
      </w:pPr>
      <w:r>
        <w:t>系统登录后进入基础信息维护菜单，可以看到各类基础资料按业务职责集中组织. 下列页面分别展示客户、供应商、产品级别、银行卡、车辆、科目、仓库、车队、公司车辆和公司加油卡的维护界面，能够覆盖企业当前已经使用的主要基础资料维护需求. 各页面实现效果如图12-1至图12-10所示.</w:t>
      </w:r>
    </w:p>
    <w:p w14:paraId="2FFA76E6">
      <w:pPr>
        <w:spacing w:before="0" w:after="0"/>
        <w:jc w:val="center"/>
      </w:pPr>
      <w:r>
        <w:drawing>
          <wp:inline distT="0" distB="0" distL="114300" distR="114300">
            <wp:extent cx="5255895" cy="29559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32"/>
                    <a:stretch>
                      <a:fillRect/>
                    </a:stretch>
                  </pic:blipFill>
                  <pic:spPr>
                    <a:xfrm>
                      <a:off x="0" y="0"/>
                      <a:ext cx="5256000" cy="2956500"/>
                    </a:xfrm>
                    <a:prstGeom prst="rect">
                      <a:avLst/>
                    </a:prstGeom>
                  </pic:spPr>
                </pic:pic>
              </a:graphicData>
            </a:graphic>
          </wp:inline>
        </w:drawing>
      </w:r>
    </w:p>
    <w:p w14:paraId="635E4D97">
      <w:pPr>
        <w:bidi w:val="0"/>
        <w:jc w:val="center"/>
        <w:rPr>
          <w:rFonts w:ascii="宋体" w:hAnsi="宋体" w:eastAsia="宋体" w:cs="宋体"/>
          <w:color w:val="auto"/>
          <w:sz w:val="18"/>
        </w:rPr>
      </w:pPr>
      <w:r>
        <w:rPr>
          <w:rFonts w:ascii="宋体" w:hAnsi="宋体" w:eastAsia="宋体" w:cs="宋体"/>
          <w:color w:val="auto"/>
          <w:sz w:val="18"/>
        </w:rPr>
        <w:t>图12-1 客户信息维护页面实现效果</w:t>
      </w:r>
    </w:p>
    <w:p w14:paraId="356D43A6">
      <w:pPr>
        <w:spacing w:before="0" w:after="0"/>
        <w:jc w:val="center"/>
      </w:pPr>
      <w:r>
        <w:drawing>
          <wp:inline distT="0" distB="0" distL="114300" distR="114300">
            <wp:extent cx="5255895" cy="2955925"/>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33"/>
                    <a:stretch>
                      <a:fillRect/>
                    </a:stretch>
                  </pic:blipFill>
                  <pic:spPr>
                    <a:xfrm>
                      <a:off x="0" y="0"/>
                      <a:ext cx="5256000" cy="2956500"/>
                    </a:xfrm>
                    <a:prstGeom prst="rect">
                      <a:avLst/>
                    </a:prstGeom>
                  </pic:spPr>
                </pic:pic>
              </a:graphicData>
            </a:graphic>
          </wp:inline>
        </w:drawing>
      </w:r>
    </w:p>
    <w:p w14:paraId="75613922">
      <w:pPr>
        <w:bidi w:val="0"/>
        <w:jc w:val="center"/>
        <w:rPr>
          <w:rFonts w:ascii="宋体" w:hAnsi="宋体" w:eastAsia="宋体" w:cs="宋体"/>
          <w:color w:val="auto"/>
          <w:sz w:val="18"/>
        </w:rPr>
      </w:pPr>
      <w:r>
        <w:rPr>
          <w:rFonts w:ascii="宋体" w:hAnsi="宋体" w:eastAsia="宋体" w:cs="宋体"/>
          <w:color w:val="auto"/>
          <w:sz w:val="18"/>
        </w:rPr>
        <w:t>图12-2 供应商信息维护页面实现效果</w:t>
      </w:r>
    </w:p>
    <w:p w14:paraId="18DDFC45">
      <w:pPr>
        <w:spacing w:before="0" w:after="0"/>
        <w:jc w:val="center"/>
      </w:pPr>
      <w:r>
        <w:drawing>
          <wp:inline distT="0" distB="0" distL="114300" distR="114300">
            <wp:extent cx="5255895" cy="29559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34"/>
                    <a:stretch>
                      <a:fillRect/>
                    </a:stretch>
                  </pic:blipFill>
                  <pic:spPr>
                    <a:xfrm>
                      <a:off x="0" y="0"/>
                      <a:ext cx="5256000" cy="2956500"/>
                    </a:xfrm>
                    <a:prstGeom prst="rect">
                      <a:avLst/>
                    </a:prstGeom>
                  </pic:spPr>
                </pic:pic>
              </a:graphicData>
            </a:graphic>
          </wp:inline>
        </w:drawing>
      </w:r>
    </w:p>
    <w:p w14:paraId="2A18026C">
      <w:pPr>
        <w:bidi w:val="0"/>
        <w:jc w:val="center"/>
        <w:rPr>
          <w:rFonts w:ascii="宋体" w:hAnsi="宋体" w:eastAsia="宋体" w:cs="宋体"/>
          <w:color w:val="auto"/>
          <w:sz w:val="18"/>
        </w:rPr>
      </w:pPr>
      <w:r>
        <w:rPr>
          <w:rFonts w:ascii="宋体" w:hAnsi="宋体" w:eastAsia="宋体" w:cs="宋体"/>
          <w:color w:val="auto"/>
          <w:sz w:val="18"/>
        </w:rPr>
        <w:t>图12-3 产品级别维护页面实现效果</w:t>
      </w:r>
    </w:p>
    <w:p w14:paraId="14A120AE">
      <w:pPr>
        <w:spacing w:before="0" w:after="0"/>
        <w:jc w:val="center"/>
      </w:pPr>
      <w:r>
        <w:drawing>
          <wp:inline distT="0" distB="0" distL="114300" distR="114300">
            <wp:extent cx="5255895" cy="29559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35"/>
                    <a:stretch>
                      <a:fillRect/>
                    </a:stretch>
                  </pic:blipFill>
                  <pic:spPr>
                    <a:xfrm>
                      <a:off x="0" y="0"/>
                      <a:ext cx="5256000" cy="2956500"/>
                    </a:xfrm>
                    <a:prstGeom prst="rect">
                      <a:avLst/>
                    </a:prstGeom>
                  </pic:spPr>
                </pic:pic>
              </a:graphicData>
            </a:graphic>
          </wp:inline>
        </w:drawing>
      </w:r>
    </w:p>
    <w:p w14:paraId="69A50C55">
      <w:pPr>
        <w:bidi w:val="0"/>
        <w:jc w:val="center"/>
        <w:rPr>
          <w:rFonts w:ascii="宋体" w:hAnsi="宋体" w:eastAsia="宋体" w:cs="宋体"/>
          <w:color w:val="auto"/>
          <w:sz w:val="18"/>
        </w:rPr>
      </w:pPr>
      <w:r>
        <w:rPr>
          <w:rFonts w:ascii="宋体" w:hAnsi="宋体" w:eastAsia="宋体" w:cs="宋体"/>
          <w:color w:val="auto"/>
          <w:sz w:val="18"/>
        </w:rPr>
        <w:t>图12-4 银行卡信息维护页面实现效果</w:t>
      </w:r>
    </w:p>
    <w:p w14:paraId="58D61B69">
      <w:pPr>
        <w:spacing w:before="0" w:after="0"/>
        <w:jc w:val="center"/>
      </w:pPr>
      <w:r>
        <w:drawing>
          <wp:inline distT="0" distB="0" distL="114300" distR="114300">
            <wp:extent cx="5255895" cy="29559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36"/>
                    <a:stretch>
                      <a:fillRect/>
                    </a:stretch>
                  </pic:blipFill>
                  <pic:spPr>
                    <a:xfrm>
                      <a:off x="0" y="0"/>
                      <a:ext cx="5256000" cy="2956500"/>
                    </a:xfrm>
                    <a:prstGeom prst="rect">
                      <a:avLst/>
                    </a:prstGeom>
                  </pic:spPr>
                </pic:pic>
              </a:graphicData>
            </a:graphic>
          </wp:inline>
        </w:drawing>
      </w:r>
    </w:p>
    <w:p w14:paraId="2254A58F">
      <w:pPr>
        <w:bidi w:val="0"/>
        <w:jc w:val="center"/>
        <w:rPr>
          <w:rFonts w:ascii="宋体" w:hAnsi="宋体" w:eastAsia="宋体" w:cs="宋体"/>
          <w:color w:val="auto"/>
          <w:sz w:val="18"/>
        </w:rPr>
      </w:pPr>
      <w:r>
        <w:rPr>
          <w:rFonts w:ascii="宋体" w:hAnsi="宋体" w:eastAsia="宋体" w:cs="宋体"/>
          <w:color w:val="auto"/>
          <w:sz w:val="18"/>
        </w:rPr>
        <w:t>图12-5 车辆信息维护页面实现效果</w:t>
      </w:r>
    </w:p>
    <w:p w14:paraId="3786B93C">
      <w:pPr>
        <w:spacing w:before="0" w:after="0"/>
        <w:jc w:val="center"/>
      </w:pPr>
      <w:r>
        <w:drawing>
          <wp:inline distT="0" distB="0" distL="114300" distR="114300">
            <wp:extent cx="5255895" cy="295592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37"/>
                    <a:stretch>
                      <a:fillRect/>
                    </a:stretch>
                  </pic:blipFill>
                  <pic:spPr>
                    <a:xfrm>
                      <a:off x="0" y="0"/>
                      <a:ext cx="5256000" cy="2956500"/>
                    </a:xfrm>
                    <a:prstGeom prst="rect">
                      <a:avLst/>
                    </a:prstGeom>
                  </pic:spPr>
                </pic:pic>
              </a:graphicData>
            </a:graphic>
          </wp:inline>
        </w:drawing>
      </w:r>
    </w:p>
    <w:p w14:paraId="1803C62B">
      <w:pPr>
        <w:bidi w:val="0"/>
        <w:jc w:val="center"/>
        <w:rPr>
          <w:rFonts w:ascii="宋体" w:hAnsi="宋体" w:eastAsia="宋体" w:cs="宋体"/>
          <w:color w:val="auto"/>
          <w:sz w:val="18"/>
        </w:rPr>
      </w:pPr>
      <w:r>
        <w:rPr>
          <w:rFonts w:ascii="宋体" w:hAnsi="宋体" w:eastAsia="宋体" w:cs="宋体"/>
          <w:color w:val="auto"/>
          <w:sz w:val="18"/>
        </w:rPr>
        <w:t>图12-6 科目维护页面实现效果</w:t>
      </w:r>
    </w:p>
    <w:p w14:paraId="074284F5">
      <w:pPr>
        <w:spacing w:before="0" w:after="0"/>
        <w:jc w:val="center"/>
      </w:pPr>
      <w:r>
        <w:drawing>
          <wp:inline distT="0" distB="0" distL="114300" distR="114300">
            <wp:extent cx="5255895" cy="295592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38"/>
                    <a:stretch>
                      <a:fillRect/>
                    </a:stretch>
                  </pic:blipFill>
                  <pic:spPr>
                    <a:xfrm>
                      <a:off x="0" y="0"/>
                      <a:ext cx="5256000" cy="2956500"/>
                    </a:xfrm>
                    <a:prstGeom prst="rect">
                      <a:avLst/>
                    </a:prstGeom>
                  </pic:spPr>
                </pic:pic>
              </a:graphicData>
            </a:graphic>
          </wp:inline>
        </w:drawing>
      </w:r>
    </w:p>
    <w:p w14:paraId="14704615">
      <w:pPr>
        <w:bidi w:val="0"/>
        <w:jc w:val="center"/>
        <w:rPr>
          <w:rFonts w:ascii="宋体" w:hAnsi="宋体" w:eastAsia="宋体" w:cs="宋体"/>
          <w:color w:val="auto"/>
          <w:sz w:val="18"/>
        </w:rPr>
      </w:pPr>
      <w:r>
        <w:rPr>
          <w:rFonts w:ascii="宋体" w:hAnsi="宋体" w:eastAsia="宋体" w:cs="宋体"/>
          <w:color w:val="auto"/>
          <w:sz w:val="18"/>
        </w:rPr>
        <w:t>图12-7 仓库信息维护页面实现效果</w:t>
      </w:r>
    </w:p>
    <w:p w14:paraId="1F10FA8A">
      <w:pPr>
        <w:spacing w:before="0" w:after="0"/>
        <w:jc w:val="center"/>
      </w:pPr>
      <w:r>
        <w:drawing>
          <wp:inline distT="0" distB="0" distL="114300" distR="114300">
            <wp:extent cx="5255895" cy="295592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39"/>
                    <a:stretch>
                      <a:fillRect/>
                    </a:stretch>
                  </pic:blipFill>
                  <pic:spPr>
                    <a:xfrm>
                      <a:off x="0" y="0"/>
                      <a:ext cx="5256000" cy="2956500"/>
                    </a:xfrm>
                    <a:prstGeom prst="rect">
                      <a:avLst/>
                    </a:prstGeom>
                  </pic:spPr>
                </pic:pic>
              </a:graphicData>
            </a:graphic>
          </wp:inline>
        </w:drawing>
      </w:r>
    </w:p>
    <w:p w14:paraId="35921B59">
      <w:pPr>
        <w:bidi w:val="0"/>
        <w:jc w:val="center"/>
        <w:rPr>
          <w:rFonts w:ascii="宋体" w:hAnsi="宋体" w:eastAsia="宋体" w:cs="宋体"/>
          <w:color w:val="auto"/>
          <w:sz w:val="18"/>
        </w:rPr>
      </w:pPr>
      <w:r>
        <w:rPr>
          <w:rFonts w:ascii="宋体" w:hAnsi="宋体" w:eastAsia="宋体" w:cs="宋体"/>
          <w:color w:val="auto"/>
          <w:sz w:val="18"/>
        </w:rPr>
        <w:t>图12-8 车队信息维护页面实现效果</w:t>
      </w:r>
    </w:p>
    <w:p w14:paraId="6927F23C">
      <w:pPr>
        <w:spacing w:before="0" w:after="0"/>
        <w:jc w:val="center"/>
      </w:pPr>
      <w:r>
        <w:drawing>
          <wp:inline distT="0" distB="0" distL="114300" distR="114300">
            <wp:extent cx="5255895" cy="295592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40"/>
                    <a:stretch>
                      <a:fillRect/>
                    </a:stretch>
                  </pic:blipFill>
                  <pic:spPr>
                    <a:xfrm>
                      <a:off x="0" y="0"/>
                      <a:ext cx="5256000" cy="2956500"/>
                    </a:xfrm>
                    <a:prstGeom prst="rect">
                      <a:avLst/>
                    </a:prstGeom>
                  </pic:spPr>
                </pic:pic>
              </a:graphicData>
            </a:graphic>
          </wp:inline>
        </w:drawing>
      </w:r>
    </w:p>
    <w:p w14:paraId="5D1968AA">
      <w:pPr>
        <w:bidi w:val="0"/>
        <w:jc w:val="center"/>
        <w:rPr>
          <w:rFonts w:ascii="宋体" w:hAnsi="宋体" w:eastAsia="宋体" w:cs="宋体"/>
          <w:color w:val="auto"/>
          <w:sz w:val="18"/>
        </w:rPr>
      </w:pPr>
      <w:r>
        <w:rPr>
          <w:rFonts w:ascii="宋体" w:hAnsi="宋体" w:eastAsia="宋体" w:cs="宋体"/>
          <w:color w:val="auto"/>
          <w:sz w:val="18"/>
        </w:rPr>
        <w:t>图12-9 公司车辆信息维护页面实现效果</w:t>
      </w:r>
    </w:p>
    <w:p w14:paraId="57277B0E">
      <w:pPr>
        <w:spacing w:before="0" w:after="0"/>
        <w:jc w:val="center"/>
      </w:pPr>
      <w:r>
        <w:drawing>
          <wp:inline distT="0" distB="0" distL="114300" distR="114300">
            <wp:extent cx="5255895" cy="29559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41"/>
                    <a:stretch>
                      <a:fillRect/>
                    </a:stretch>
                  </pic:blipFill>
                  <pic:spPr>
                    <a:xfrm>
                      <a:off x="0" y="0"/>
                      <a:ext cx="5256000" cy="2956500"/>
                    </a:xfrm>
                    <a:prstGeom prst="rect">
                      <a:avLst/>
                    </a:prstGeom>
                  </pic:spPr>
                </pic:pic>
              </a:graphicData>
            </a:graphic>
          </wp:inline>
        </w:drawing>
      </w:r>
    </w:p>
    <w:p w14:paraId="324952E5">
      <w:pPr>
        <w:bidi w:val="0"/>
        <w:jc w:val="center"/>
        <w:rPr>
          <w:rFonts w:ascii="宋体" w:hAnsi="宋体" w:eastAsia="宋体" w:cs="宋体"/>
          <w:color w:val="auto"/>
          <w:sz w:val="18"/>
        </w:rPr>
      </w:pPr>
      <w:r>
        <w:rPr>
          <w:rFonts w:ascii="宋体" w:hAnsi="宋体" w:eastAsia="宋体" w:cs="宋体"/>
          <w:color w:val="auto"/>
          <w:sz w:val="18"/>
        </w:rPr>
        <w:t>图12-10 公司加油卡维护页面实现效果</w:t>
      </w:r>
    </w:p>
    <w:p w14:paraId="22573ADD">
      <w:pPr>
        <w:pStyle w:val="3"/>
      </w:pPr>
      <w:bookmarkStart w:id="106" w:name="_Toc227179471"/>
      <w:bookmarkStart w:id="107" w:name="_Toc123043881"/>
      <w:r>
        <w:t>5.3 订单协同模块实现</w:t>
      </w:r>
      <w:bookmarkEnd w:id="106"/>
      <w:bookmarkEnd w:id="107"/>
    </w:p>
    <w:p w14:paraId="69A2E7F6">
      <w:pPr>
        <w:spacing w:before="0" w:after="0" w:line="360" w:lineRule="auto"/>
        <w:ind w:firstLine="480"/>
        <w:jc w:val="both"/>
        <w:rPr>
          <w:rFonts w:hint="eastAsia" w:eastAsia="宋体"/>
          <w:lang w:eastAsia="zh-CN"/>
        </w:rPr>
      </w:pPr>
      <w:r>
        <w:t xml:space="preserve">订单协同模块承担业务来源与仓储执行之间的连接. 前端goodsOrder.js封装订单列表、详情、审核、附件更新和历史记录等接口，支持订单录入、修改、审核和追踪；listWithFullDetail等接口可拉取带子表的完整订单数据，方便后续仓储页面引用. 订单列表页面实现效果如图13所示. </w:t>
      </w:r>
    </w:p>
    <w:p w14:paraId="6A0905ED">
      <w:pPr>
        <w:spacing w:before="0" w:after="0"/>
        <w:ind w:firstLine="0"/>
        <w:jc w:val="center"/>
      </w:pPr>
      <w:r>
        <w:drawing>
          <wp:inline distT="0" distB="0" distL="114300" distR="114300">
            <wp:extent cx="5334000" cy="2909570"/>
            <wp:effectExtent l="0" t="0" r="0" b="0"/>
            <wp:docPr id="154" name="Picture" descr="图12 订单列表页面实现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descr="图12 订单列表页面实现效果"/>
                    <pic:cNvPicPr>
                      <a:picLocks noChangeAspect="1" noChangeArrowheads="1"/>
                    </pic:cNvPicPr>
                  </pic:nvPicPr>
                  <pic:blipFill>
                    <a:blip r:embed="rId42"/>
                    <a:stretch>
                      <a:fillRect/>
                    </a:stretch>
                  </pic:blipFill>
                  <pic:spPr>
                    <a:xfrm>
                      <a:off x="0" y="0"/>
                      <a:ext cx="5334000" cy="2910114"/>
                    </a:xfrm>
                    <a:prstGeom prst="rect">
                      <a:avLst/>
                    </a:prstGeom>
                    <a:noFill/>
                    <a:ln w="9525">
                      <a:noFill/>
                    </a:ln>
                  </pic:spPr>
                </pic:pic>
              </a:graphicData>
            </a:graphic>
          </wp:inline>
        </w:drawing>
      </w:r>
    </w:p>
    <w:p w14:paraId="205731AE">
      <w:pPr>
        <w:bidi w:val="0"/>
        <w:jc w:val="center"/>
        <w:rPr>
          <w:rFonts w:ascii="宋体" w:hAnsi="宋体" w:eastAsia="宋体" w:cs="宋体"/>
          <w:color w:val="auto"/>
          <w:sz w:val="18"/>
        </w:rPr>
      </w:pPr>
      <w:r>
        <w:rPr>
          <w:rFonts w:ascii="宋体" w:hAnsi="宋体" w:eastAsia="宋体" w:cs="宋体"/>
          <w:color w:val="auto"/>
          <w:sz w:val="18"/>
        </w:rPr>
        <w:t>图13 订单列表页面实现效果</w:t>
      </w:r>
    </w:p>
    <w:p w14:paraId="13DE07E0">
      <w:pPr>
        <w:spacing w:before="0" w:after="0" w:line="240" w:lineRule="auto"/>
        <w:ind w:firstLine="0"/>
        <w:jc w:val="center"/>
        <w:rPr>
          <w:rFonts w:ascii="宋体" w:hAnsi="宋体" w:eastAsia="宋体"/>
          <w:b w:val="0"/>
          <w:sz w:val="21"/>
        </w:rPr>
      </w:pPr>
    </w:p>
    <w:p w14:paraId="6F6F1A55">
      <w:pPr>
        <w:jc w:val="both"/>
      </w:pPr>
      <w:r>
        <w:t>调整单页面面向已审核订单在后续业务中需要更正的场景使用。页面以订单列表为基础展示调整单记录，可按时间范围、客户名称、供应商、仓库、司机、车牌、海运公司、柜号、车队、录入员、销售经理、审核状态、开票状态和规格参数进行检索；行操作中提供查看、调整单、查看原单据和发货单等入口。业务人员发起调整后，系统保留原订单数据，生成与原单据关联的正数调整单和负数冲抵记录，用于保证客户往来、供应商往来、运费、利润统计及后续出库数据的一致性。调整单页面实现效果如图13-1所示。</w:t>
      </w:r>
    </w:p>
    <w:p w14:paraId="03EEF743">
      <w:pPr>
        <w:jc w:val="center"/>
      </w:pPr>
      <w:r>
        <w:drawing>
          <wp:inline distT="0" distB="0" distL="114300" distR="114300">
            <wp:extent cx="5334635" cy="333438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43"/>
                    <a:stretch>
                      <a:fillRect/>
                    </a:stretch>
                  </pic:blipFill>
                  <pic:spPr>
                    <a:xfrm>
                      <a:off x="0" y="0"/>
                      <a:ext cx="5335200" cy="3334500"/>
                    </a:xfrm>
                    <a:prstGeom prst="rect">
                      <a:avLst/>
                    </a:prstGeom>
                  </pic:spPr>
                </pic:pic>
              </a:graphicData>
            </a:graphic>
          </wp:inline>
        </w:drawing>
      </w:r>
    </w:p>
    <w:p w14:paraId="3FB09F69">
      <w:pPr>
        <w:bidi w:val="0"/>
        <w:jc w:val="center"/>
        <w:rPr>
          <w:rFonts w:ascii="宋体" w:hAnsi="宋体" w:eastAsia="宋体" w:cs="宋体"/>
          <w:color w:val="auto"/>
          <w:sz w:val="18"/>
        </w:rPr>
      </w:pPr>
      <w:r>
        <w:rPr>
          <w:rFonts w:ascii="宋体" w:hAnsi="宋体" w:eastAsia="宋体" w:cs="宋体"/>
          <w:color w:val="auto"/>
          <w:sz w:val="18"/>
        </w:rPr>
        <w:t>图13-1 调整单页面实现效果</w:t>
      </w:r>
    </w:p>
    <w:p w14:paraId="54E7E38B">
      <w:pPr>
        <w:pStyle w:val="3"/>
      </w:pPr>
      <w:bookmarkStart w:id="108" w:name="_Toc2119239553"/>
      <w:bookmarkStart w:id="109" w:name="_Toc010023"/>
      <w:bookmarkStart w:id="110" w:name="_Toc2126928378"/>
      <w:bookmarkStart w:id="111" w:name="入库管理模块实现"/>
      <w:r>
        <w:t>5.4 入库管理模块实现</w:t>
      </w:r>
      <w:bookmarkEnd w:id="108"/>
      <w:bookmarkEnd w:id="109"/>
      <w:bookmarkEnd w:id="110"/>
    </w:p>
    <w:p w14:paraId="3669F9D9">
      <w:pPr>
        <w:spacing w:before="0" w:after="0" w:line="360" w:lineRule="auto"/>
        <w:ind w:firstLine="480"/>
        <w:jc w:val="left"/>
        <w:rPr>
          <w:rFonts w:hint="eastAsia" w:eastAsia="宋体"/>
          <w:lang w:eastAsia="zh-CN"/>
        </w:rPr>
      </w:pPr>
      <w:r>
        <w:t>入库管理的实现分布在inventoryMain、inventory以及/inventoryIn/index.vue等页面和接口中，分别对应入库主单、库存明细和统计展示.</w:t>
      </w:r>
    </w:p>
    <w:p w14:paraId="26D973C2">
      <w:pPr>
        <w:spacing w:before="0" w:after="0" w:line="360" w:lineRule="auto"/>
        <w:ind w:firstLine="480"/>
        <w:jc w:val="both"/>
        <w:rPr>
          <w:rFonts w:hint="eastAsia" w:eastAsia="宋体"/>
          <w:lang w:eastAsia="zh-CN"/>
        </w:rPr>
      </w:pPr>
      <w:r>
        <w:t xml:space="preserve">页面层面，入库记录查询支持开始日期、结束日期、产品级别、供应商或库房、入库库房、陆运车辆和海运柜号等条件筛选；结果表格展示入库日期、仓库、车号或柜号、司机信息、银行账号、供应商或库房、产品级别、厚度、长度、宽度、总片数、包数和入库金额. 由此可以看出，系统记录的不只是入库动作，还包括玻璃规格、运输主体和金额口径. </w:t>
      </w:r>
    </w:p>
    <w:p w14:paraId="63EE70B8">
      <w:pPr>
        <w:spacing w:before="0" w:after="0" w:line="360" w:lineRule="auto"/>
        <w:ind w:firstLine="480"/>
        <w:jc w:val="both"/>
        <w:rPr>
          <w:rFonts w:hint="eastAsia" w:eastAsia="宋体"/>
          <w:lang w:eastAsia="zh-CN"/>
        </w:rPr>
      </w:pPr>
      <w:r>
        <w:t xml:space="preserve">接口层面，inventoryMain.js处理库存主单的列表、详情、新增、修改、删除、审核和附件更新，inventory.js处理库存明细. 主单与明细配合后，一次入库作业既保留整体信息，也保留具体规格、数量和金额. 入库管理页面实现效果如图14所示. </w:t>
      </w:r>
    </w:p>
    <w:p w14:paraId="0052374F">
      <w:pPr>
        <w:spacing w:before="0" w:after="0"/>
        <w:ind w:firstLine="0"/>
        <w:jc w:val="center"/>
      </w:pPr>
      <w:r>
        <w:drawing>
          <wp:inline distT="0" distB="0" distL="114300" distR="114300">
            <wp:extent cx="5334000" cy="2909570"/>
            <wp:effectExtent l="0" t="0" r="0" b="0"/>
            <wp:docPr id="158" name="Picture" descr="图13 入库管理页面实现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descr="图13 入库管理页面实现效果"/>
                    <pic:cNvPicPr>
                      <a:picLocks noChangeAspect="1" noChangeArrowheads="1"/>
                    </pic:cNvPicPr>
                  </pic:nvPicPr>
                  <pic:blipFill>
                    <a:blip r:embed="rId44"/>
                    <a:stretch>
                      <a:fillRect/>
                    </a:stretch>
                  </pic:blipFill>
                  <pic:spPr>
                    <a:xfrm>
                      <a:off x="0" y="0"/>
                      <a:ext cx="5334000" cy="2910114"/>
                    </a:xfrm>
                    <a:prstGeom prst="rect">
                      <a:avLst/>
                    </a:prstGeom>
                    <a:noFill/>
                    <a:ln w="9525">
                      <a:noFill/>
                    </a:ln>
                  </pic:spPr>
                </pic:pic>
              </a:graphicData>
            </a:graphic>
          </wp:inline>
        </w:drawing>
      </w:r>
    </w:p>
    <w:p w14:paraId="62DD124A">
      <w:pPr>
        <w:bidi w:val="0"/>
        <w:jc w:val="center"/>
        <w:rPr>
          <w:rFonts w:ascii="宋体" w:hAnsi="宋体" w:eastAsia="宋体" w:cs="宋体"/>
          <w:color w:val="auto"/>
          <w:sz w:val="18"/>
        </w:rPr>
      </w:pPr>
      <w:r>
        <w:rPr>
          <w:rFonts w:ascii="宋体" w:hAnsi="宋体" w:eastAsia="宋体" w:cs="宋体"/>
          <w:color w:val="auto"/>
          <w:sz w:val="18"/>
        </w:rPr>
        <w:t>图14 入库管理页面实现效果</w:t>
      </w:r>
    </w:p>
    <w:bookmarkEnd w:id="111"/>
    <w:p w14:paraId="2D1D71CA">
      <w:pPr>
        <w:pStyle w:val="3"/>
      </w:pPr>
      <w:bookmarkStart w:id="112" w:name="_Toc272461084"/>
      <w:bookmarkStart w:id="113" w:name="_Toc2042881776"/>
      <w:bookmarkStart w:id="114" w:name="_Toc010024"/>
      <w:bookmarkStart w:id="115" w:name="出库管理模块实现"/>
      <w:r>
        <w:t>5.5 出库管理模块实现</w:t>
      </w:r>
      <w:bookmarkEnd w:id="112"/>
      <w:bookmarkEnd w:id="113"/>
      <w:bookmarkEnd w:id="114"/>
    </w:p>
    <w:p w14:paraId="76EA088C">
      <w:pPr>
        <w:spacing w:before="0" w:after="0" w:line="360" w:lineRule="auto"/>
        <w:ind w:firstLine="480"/>
        <w:jc w:val="both"/>
        <w:rPr>
          <w:rFonts w:hint="eastAsia" w:eastAsia="宋体"/>
          <w:lang w:eastAsia="zh-CN"/>
        </w:rPr>
      </w:pPr>
      <w:r>
        <w:t xml:space="preserve">出库实现覆盖正常发货、加工后出库和破损出库. 菜单中分别设置“正常发货出库记录”“加工后出库货物”“货物破损出库”等入口，说明系统没有把不同流向压缩成单一出库页面. </w:t>
      </w:r>
    </w:p>
    <w:p w14:paraId="475CBE1C">
      <w:pPr>
        <w:spacing w:before="0" w:after="0" w:line="360" w:lineRule="auto"/>
        <w:ind w:firstLine="480"/>
        <w:jc w:val="both"/>
        <w:rPr>
          <w:rFonts w:hint="eastAsia" w:ascii="Times New Roman" w:hAnsi="Times New Roman" w:eastAsia="宋体"/>
          <w:sz w:val="24"/>
          <w:lang w:eastAsia="zh-CN"/>
        </w:rPr>
      </w:pPr>
      <w:r>
        <w:t xml:space="preserve">出库记录统一保存仓库名称、出库方向、出库日期、出库量和订单编号等信息. 统一结构便于后续统计，不同出库方向又能保留业务差异；对于玻璃产品来说，加工后出库和破损出库都直接影响库存解释，必须在页面和数据中被区分. 正常发货出库记录页面如图15所示. </w:t>
      </w:r>
    </w:p>
    <w:p w14:paraId="6B8EB3D7">
      <w:pPr>
        <w:spacing w:before="0" w:after="0"/>
        <w:ind w:firstLine="0"/>
        <w:jc w:val="center"/>
      </w:pPr>
      <w:r>
        <w:drawing>
          <wp:inline distT="0" distB="0" distL="114300" distR="114300">
            <wp:extent cx="5334000" cy="2909570"/>
            <wp:effectExtent l="0" t="0" r="0" b="0"/>
            <wp:docPr id="162" name="Picture" descr="图14 正常发货出库记录页面实现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图14 正常发货出库记录页面实现效果"/>
                    <pic:cNvPicPr>
                      <a:picLocks noChangeAspect="1" noChangeArrowheads="1"/>
                    </pic:cNvPicPr>
                  </pic:nvPicPr>
                  <pic:blipFill>
                    <a:blip r:embed="rId45"/>
                    <a:stretch>
                      <a:fillRect/>
                    </a:stretch>
                  </pic:blipFill>
                  <pic:spPr>
                    <a:xfrm>
                      <a:off x="0" y="0"/>
                      <a:ext cx="5334000" cy="2910114"/>
                    </a:xfrm>
                    <a:prstGeom prst="rect">
                      <a:avLst/>
                    </a:prstGeom>
                    <a:noFill/>
                    <a:ln w="9525">
                      <a:noFill/>
                    </a:ln>
                  </pic:spPr>
                </pic:pic>
              </a:graphicData>
            </a:graphic>
          </wp:inline>
        </w:drawing>
      </w:r>
    </w:p>
    <w:p w14:paraId="48BF0CFB">
      <w:pPr>
        <w:bidi w:val="0"/>
        <w:jc w:val="center"/>
        <w:rPr>
          <w:rFonts w:ascii="宋体" w:hAnsi="宋体" w:eastAsia="宋体" w:cs="宋体"/>
          <w:color w:val="auto"/>
          <w:sz w:val="18"/>
        </w:rPr>
      </w:pPr>
      <w:r>
        <w:rPr>
          <w:rFonts w:ascii="宋体" w:hAnsi="宋体" w:eastAsia="宋体" w:cs="宋体"/>
          <w:color w:val="auto"/>
          <w:sz w:val="18"/>
        </w:rPr>
        <w:t>图15 正常发货出库记录页面实现效果</w:t>
      </w:r>
    </w:p>
    <w:bookmarkEnd w:id="115"/>
    <w:p w14:paraId="7DCEFAFE">
      <w:pPr>
        <w:pStyle w:val="3"/>
      </w:pPr>
      <w:bookmarkStart w:id="116" w:name="_Toc010025"/>
      <w:bookmarkStart w:id="117" w:name="_Toc818303384"/>
      <w:bookmarkStart w:id="118" w:name="_Toc745460996"/>
      <w:bookmarkStart w:id="119" w:name="库存审核与附件功能实现"/>
      <w:r>
        <w:t>5.6 库存审核与附件功能实现</w:t>
      </w:r>
      <w:bookmarkEnd w:id="116"/>
      <w:bookmarkEnd w:id="117"/>
      <w:bookmarkEnd w:id="118"/>
    </w:p>
    <w:p w14:paraId="694420AC">
      <w:pPr>
        <w:spacing w:before="0" w:after="0" w:line="360" w:lineRule="auto"/>
        <w:ind w:firstLine="480"/>
        <w:jc w:val="both"/>
        <w:rPr>
          <w:rFonts w:hint="eastAsia" w:eastAsia="宋体"/>
          <w:lang w:eastAsia="zh-CN"/>
        </w:rPr>
      </w:pPr>
      <w:r>
        <w:t xml:space="preserve">库存审核和附件维护共同构成受控变更机制. inventoryMain提供审核接口，菜单权限控制审核入口；审核状态还会影响页面可编辑性. 关键库存记录审核通过后进入相对稳定状态，避免库存结果被随意改动. </w:t>
      </w:r>
    </w:p>
    <w:p w14:paraId="0EC7A609">
      <w:pPr>
        <w:spacing w:before="0" w:after="0" w:line="360" w:lineRule="auto"/>
        <w:ind w:firstLine="480"/>
        <w:jc w:val="both"/>
        <w:rPr>
          <w:rFonts w:hint="eastAsia" w:eastAsia="宋体"/>
          <w:lang w:eastAsia="zh-CN"/>
        </w:rPr>
      </w:pPr>
      <w:r>
        <w:t xml:space="preserve">附件功能通过mixin_checkfile.js封装. 系统分别处理订单对象和库存对象的附件更新，库存附件调用updateInventoryAttachments接口，订单附件调用对应订单接口；在特定状态下继续补传附件，可以补齐业务单据、图片或说明材料. </w:t>
      </w:r>
    </w:p>
    <w:bookmarkEnd w:id="119"/>
    <w:p w14:paraId="3452ABFB">
      <w:pPr>
        <w:pStyle w:val="3"/>
      </w:pPr>
      <w:bookmarkStart w:id="120" w:name="_Toc739699500"/>
      <w:bookmarkStart w:id="121" w:name="_Toc543363174"/>
      <w:bookmarkStart w:id="122" w:name="_Toc010026"/>
      <w:bookmarkStart w:id="123" w:name="库存统计与报表功能实现"/>
      <w:r>
        <w:t>5.7 库存统计与报表功能实现</w:t>
      </w:r>
      <w:bookmarkEnd w:id="120"/>
      <w:bookmarkEnd w:id="121"/>
      <w:bookmarkEnd w:id="122"/>
    </w:p>
    <w:p w14:paraId="5DF755DD">
      <w:pPr>
        <w:spacing w:before="0" w:after="0" w:line="360" w:lineRule="auto"/>
        <w:ind w:firstLine="480"/>
        <w:jc w:val="both"/>
        <w:rPr>
          <w:rFonts w:hint="eastAsia" w:eastAsia="宋体"/>
          <w:lang w:eastAsia="zh-CN"/>
        </w:rPr>
      </w:pPr>
      <w:r>
        <w:t xml:space="preserve">统计功能体现的是WMS从“记录工具”到“管理工具”的转变. 系统提供入库记录、出库记录、仓库资金变动明细和库存余额表等页面，用于从不同角度核对库存过程. </w:t>
      </w:r>
    </w:p>
    <w:p w14:paraId="1B985ED3">
      <w:pPr>
        <w:spacing w:before="0" w:after="0" w:line="360" w:lineRule="auto"/>
        <w:ind w:firstLine="480"/>
        <w:jc w:val="both"/>
        <w:rPr>
          <w:rFonts w:hint="eastAsia" w:ascii="Times New Roman" w:hAnsi="Times New Roman" w:eastAsia="宋体"/>
          <w:sz w:val="24"/>
          <w:lang w:eastAsia="zh-CN"/>
        </w:rPr>
      </w:pPr>
      <w:r>
        <w:t xml:space="preserve">其中，inventoryDetailViews/inventoryIn/index.vue 用于展示入库记录统计结果，inventoryDetailViews/inventoryOut/index.vue 用于展示出库记录，inventoryChange/index.vue 用于查看仓库在时间区间内的入库金额、出库金额和库存金额变化，report/inventory/InventoryBalance/index.vue 则用于按日期和仓库维度输出库存余额表. </w:t>
      </w:r>
    </w:p>
    <w:p w14:paraId="1E36A4E8">
      <w:pPr>
        <w:spacing w:before="0" w:after="0" w:line="360" w:lineRule="auto"/>
        <w:ind w:firstLine="480"/>
        <w:jc w:val="both"/>
        <w:rPr>
          <w:rFonts w:hint="eastAsia" w:ascii="Times New Roman" w:hAnsi="Times New Roman" w:eastAsia="宋体"/>
          <w:sz w:val="24"/>
          <w:lang w:eastAsia="zh-CN"/>
        </w:rPr>
      </w:pPr>
      <w:r>
        <w:t xml:space="preserve">以库存余额表为例，页面按日期和金额条件筛选数据，表格输出仓库名称和库房存货金额，并提供导出入口. 仓库变动明细不仅展示汇总值，还可以继续查看具体入库明细或出库详情，使统计结果能够回到原始业务记录. 库存明细页面与库存余额表页面实现效果分别如图16和图17所示. </w:t>
      </w:r>
    </w:p>
    <w:p w14:paraId="0B1C3830">
      <w:pPr>
        <w:spacing w:before="0" w:after="0"/>
        <w:ind w:firstLine="0"/>
        <w:jc w:val="center"/>
      </w:pPr>
      <w:r>
        <w:drawing>
          <wp:inline distT="0" distB="0" distL="114300" distR="114300">
            <wp:extent cx="5334000" cy="2909570"/>
            <wp:effectExtent l="0" t="0" r="0" b="0"/>
            <wp:docPr id="167" name="Picture" descr="图15 库存明细页面实现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descr="图15 库存明细页面实现效果"/>
                    <pic:cNvPicPr>
                      <a:picLocks noChangeAspect="1" noChangeArrowheads="1"/>
                    </pic:cNvPicPr>
                  </pic:nvPicPr>
                  <pic:blipFill>
                    <a:blip r:embed="rId46"/>
                    <a:stretch>
                      <a:fillRect/>
                    </a:stretch>
                  </pic:blipFill>
                  <pic:spPr>
                    <a:xfrm>
                      <a:off x="0" y="0"/>
                      <a:ext cx="5334000" cy="2910114"/>
                    </a:xfrm>
                    <a:prstGeom prst="rect">
                      <a:avLst/>
                    </a:prstGeom>
                    <a:noFill/>
                    <a:ln w="9525">
                      <a:noFill/>
                    </a:ln>
                  </pic:spPr>
                </pic:pic>
              </a:graphicData>
            </a:graphic>
          </wp:inline>
        </w:drawing>
      </w:r>
    </w:p>
    <w:p w14:paraId="52F45DD6">
      <w:pPr>
        <w:bidi w:val="0"/>
        <w:jc w:val="center"/>
        <w:rPr>
          <w:rFonts w:ascii="宋体" w:hAnsi="宋体" w:eastAsia="宋体" w:cs="宋体"/>
          <w:color w:val="auto"/>
          <w:sz w:val="18"/>
        </w:rPr>
      </w:pPr>
      <w:r>
        <w:rPr>
          <w:rFonts w:ascii="宋体" w:hAnsi="宋体" w:eastAsia="宋体" w:cs="宋体"/>
          <w:color w:val="auto"/>
          <w:sz w:val="18"/>
        </w:rPr>
        <w:t>图16 库存明细页面实现效果</w:t>
      </w:r>
    </w:p>
    <w:p w14:paraId="22B1B87B">
      <w:pPr>
        <w:spacing w:before="0" w:after="0"/>
        <w:ind w:firstLine="0"/>
        <w:jc w:val="center"/>
      </w:pPr>
      <w:r>
        <w:drawing>
          <wp:inline distT="0" distB="0" distL="114300" distR="114300">
            <wp:extent cx="5334000" cy="2909570"/>
            <wp:effectExtent l="0" t="0" r="0" b="0"/>
            <wp:docPr id="170" name="Picture" descr="图16 库存余额表页面实现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descr="图16 库存余额表页面实现效果"/>
                    <pic:cNvPicPr>
                      <a:picLocks noChangeAspect="1" noChangeArrowheads="1"/>
                    </pic:cNvPicPr>
                  </pic:nvPicPr>
                  <pic:blipFill>
                    <a:blip r:embed="rId47"/>
                    <a:stretch>
                      <a:fillRect/>
                    </a:stretch>
                  </pic:blipFill>
                  <pic:spPr>
                    <a:xfrm>
                      <a:off x="0" y="0"/>
                      <a:ext cx="5334000" cy="2910114"/>
                    </a:xfrm>
                    <a:prstGeom prst="rect">
                      <a:avLst/>
                    </a:prstGeom>
                    <a:noFill/>
                    <a:ln w="9525">
                      <a:noFill/>
                    </a:ln>
                  </pic:spPr>
                </pic:pic>
              </a:graphicData>
            </a:graphic>
          </wp:inline>
        </w:drawing>
      </w:r>
    </w:p>
    <w:p w14:paraId="049586D3">
      <w:pPr>
        <w:bidi w:val="0"/>
        <w:jc w:val="center"/>
        <w:rPr>
          <w:rFonts w:ascii="宋体" w:hAnsi="宋体" w:eastAsia="宋体" w:cs="宋体"/>
          <w:color w:val="auto"/>
          <w:sz w:val="18"/>
        </w:rPr>
      </w:pPr>
      <w:r>
        <w:rPr>
          <w:rFonts w:ascii="宋体" w:hAnsi="宋体" w:eastAsia="宋体" w:cs="宋体"/>
          <w:color w:val="auto"/>
          <w:sz w:val="18"/>
        </w:rPr>
        <w:t>图17 库存余额表页面实现效果</w:t>
      </w:r>
    </w:p>
    <w:bookmarkEnd w:id="123"/>
    <w:p w14:paraId="715C80AB">
      <w:pPr>
        <w:pStyle w:val="3"/>
      </w:pPr>
      <w:bookmarkStart w:id="124" w:name="_Toc010027"/>
      <w:bookmarkStart w:id="125" w:name="_Toc1204398374"/>
      <w:bookmarkStart w:id="126" w:name="_Toc346664017"/>
      <w:bookmarkStart w:id="127" w:name="异步导出与websocket进度反馈实现"/>
      <w:r>
        <w:t>5.8 异步导出与WebSocket进度反馈实现</w:t>
      </w:r>
      <w:bookmarkEnd w:id="124"/>
      <w:bookmarkEnd w:id="125"/>
      <w:bookmarkEnd w:id="126"/>
    </w:p>
    <w:p w14:paraId="12161542">
      <w:pPr>
        <w:spacing w:before="0" w:after="0" w:line="360" w:lineRule="auto"/>
        <w:ind w:firstLine="480"/>
        <w:jc w:val="both"/>
        <w:rPr>
          <w:rFonts w:hint="eastAsia" w:eastAsia="宋体"/>
          <w:lang w:eastAsia="zh-CN"/>
        </w:rPr>
      </w:pPr>
      <w:r>
        <w:t xml:space="preserve">导出能力由请求封装和前端状态管理共同承担. utils/request.js提供通用下载和一键下载方法，普通导出通过Blob接收文件后直接保存，适合单次、耗时较短的文件下载. </w:t>
      </w:r>
    </w:p>
    <w:p w14:paraId="0DFCCA26">
      <w:pPr>
        <w:spacing w:before="0" w:after="0" w:line="360" w:lineRule="auto"/>
        <w:ind w:firstLine="480"/>
        <w:jc w:val="both"/>
        <w:rPr>
          <w:rFonts w:hint="eastAsia" w:eastAsia="宋体"/>
          <w:lang w:eastAsia="zh-CN"/>
        </w:rPr>
      </w:pPr>
      <w:r>
        <w:t xml:space="preserve">长耗时一键下载则结合WebSocket反馈进度. utils/websocket.js封装SockJS与STOMP连接、订阅、断开和重连逻辑，store/modules/downloadOnce.js保存导出百分比和提示信息，页面从Vuex读取状态并渲染进度条. 用户发起大批量导出后，可以持续看到后台任务进展. </w:t>
      </w:r>
    </w:p>
    <w:bookmarkEnd w:id="127"/>
    <w:p w14:paraId="38CF1D50">
      <w:pPr>
        <w:pStyle w:val="3"/>
      </w:pPr>
      <w:bookmarkStart w:id="128" w:name="_Toc258999408"/>
      <w:bookmarkStart w:id="129" w:name="_Toc010028"/>
      <w:bookmarkStart w:id="130" w:name="_Toc142615196"/>
      <w:bookmarkStart w:id="131" w:name="事件驱动联动与一致性实现"/>
      <w:r>
        <w:t>5.9 事件驱动联动与一致性实现</w:t>
      </w:r>
      <w:bookmarkEnd w:id="128"/>
      <w:bookmarkEnd w:id="129"/>
      <w:bookmarkEnd w:id="130"/>
    </w:p>
    <w:p w14:paraId="4FA7BC46">
      <w:pPr>
        <w:spacing w:before="0" w:after="0" w:line="360" w:lineRule="auto"/>
        <w:ind w:firstLine="480"/>
        <w:jc w:val="both"/>
        <w:rPr>
          <w:rFonts w:hint="eastAsia" w:eastAsia="宋体"/>
          <w:lang w:eastAsia="zh-CN"/>
        </w:rPr>
      </w:pPr>
      <w:r>
        <w:t xml:space="preserve">后端实现资料显示，系统采用基于AOP和监听器模式的事件驱动联动机制. 其作用是把入库、出库、审核和主数据更新后的库存联动、状态回写、冗余字段刷新等附加处理从主服务方法中拆出，避免单个方法显式串联过多逻辑. </w:t>
      </w:r>
    </w:p>
    <w:p w14:paraId="798DC0B9">
      <w:pPr>
        <w:spacing w:before="0" w:after="0" w:line="360" w:lineRule="auto"/>
        <w:ind w:firstLine="480"/>
        <w:jc w:val="both"/>
        <w:rPr>
          <w:rFonts w:hint="eastAsia" w:eastAsia="宋体"/>
          <w:lang w:eastAsia="zh-CN"/>
        </w:rPr>
      </w:pPr>
      <w:r>
        <w:t xml:space="preserve">结合前文事件驱动示意图，可以把该实现理解为“主业务写入+监听器联动”：主服务完成核心数据库操作，事件发布器在前置或后置阶段通知监听器，监听器再执行参数补全、编号生成、库存数量与金额联动、审核状态回写等任务. 该模式保留了主服务的清晰边界，也便于后续增加新的仓储联动规则. </w:t>
      </w:r>
    </w:p>
    <w:bookmarkEnd w:id="131"/>
    <w:p w14:paraId="147B2EF4">
      <w:pPr>
        <w:pStyle w:val="3"/>
      </w:pPr>
      <w:bookmarkStart w:id="132" w:name="_Toc341849120"/>
      <w:bookmarkStart w:id="133" w:name="_Toc53697787"/>
      <w:bookmarkStart w:id="134" w:name="_Toc010029"/>
      <w:bookmarkStart w:id="135" w:name="系统实现效果小结"/>
      <w:r>
        <w:t>5.10 系统实现效果小结</w:t>
      </w:r>
      <w:bookmarkEnd w:id="132"/>
      <w:bookmarkEnd w:id="133"/>
      <w:bookmarkEnd w:id="134"/>
    </w:p>
    <w:p w14:paraId="33DF42F0">
      <w:pPr>
        <w:spacing w:before="0" w:after="0" w:line="360" w:lineRule="auto"/>
        <w:ind w:firstLine="480"/>
        <w:jc w:val="both"/>
        <w:rPr>
          <w:rFonts w:hint="eastAsia" w:eastAsia="宋体"/>
          <w:lang w:eastAsia="zh-CN"/>
        </w:rPr>
      </w:pPr>
      <w:r>
        <w:t xml:space="preserve">从实现结果看，系统已经形成从权限入口到基础资料、订单执行、仓储执行、运输登记、资金记录再到统计导出的连续链路. 用户与权限控制限定操作边界，客户、供应商、银行卡、车辆、车队、科目和产品级别提供业务来源，订单协同提供履约主线，入库、出库和审核处理库存过程，运费、付款、收款和银行账户变动补充资金口径，统计查询与异步导出负责结果输出；统一请求封装、附件更新、WebSocket进度反馈和事件驱动联动则补充了实际使用中的稳定性. </w:t>
      </w:r>
    </w:p>
    <w:bookmarkEnd w:id="96"/>
    <w:bookmarkEnd w:id="135"/>
    <w:p w14:paraId="63778F1F">
      <w:pPr>
        <w:pStyle w:val="2"/>
      </w:pPr>
      <w:bookmarkStart w:id="136" w:name="_Toc939404115"/>
      <w:bookmarkStart w:id="137" w:name="_Toc555574369"/>
      <w:bookmarkStart w:id="138" w:name="_Toc010030"/>
      <w:bookmarkStart w:id="139" w:name="系统测试"/>
      <w:r>
        <w:t>6 系统测试</w:t>
      </w:r>
      <w:bookmarkEnd w:id="136"/>
      <w:bookmarkEnd w:id="137"/>
      <w:bookmarkEnd w:id="138"/>
    </w:p>
    <w:p w14:paraId="507FC027">
      <w:pPr>
        <w:spacing w:before="0" w:after="0" w:line="360" w:lineRule="auto"/>
        <w:ind w:firstLine="480"/>
        <w:jc w:val="both"/>
        <w:rPr>
          <w:rFonts w:hint="eastAsia" w:ascii="Times New Roman" w:hAnsi="Times New Roman" w:eastAsia="宋体"/>
          <w:sz w:val="24"/>
          <w:lang w:eastAsia="zh-CN"/>
        </w:rPr>
      </w:pPr>
      <w:r>
        <w:t xml:space="preserve">本章不只验证页面是否能够打开，而是围绕玻璃供应链WMS的业务链路检查系统质量. 测试重点放在功能正确性、权限有效性、数据一致性和导出稳定性四个方面，方法以黑盒功能测试为主，并结合关键联动场景进行检查. </w:t>
      </w:r>
    </w:p>
    <w:p w14:paraId="19D206DB">
      <w:pPr>
        <w:spacing w:before="0" w:after="0" w:line="360" w:lineRule="auto"/>
        <w:ind w:firstLine="480"/>
        <w:jc w:val="both"/>
        <w:rPr>
          <w:rFonts w:hint="eastAsia" w:ascii="Times New Roman" w:hAnsi="Times New Roman" w:eastAsia="宋体"/>
          <w:sz w:val="24"/>
        </w:rPr>
      </w:pPr>
    </w:p>
    <w:p w14:paraId="200B8325">
      <w:pPr>
        <w:pStyle w:val="3"/>
      </w:pPr>
      <w:bookmarkStart w:id="140" w:name="_Toc010031"/>
      <w:bookmarkStart w:id="141" w:name="_Toc279522627"/>
      <w:bookmarkStart w:id="142" w:name="_Toc265188061"/>
      <w:bookmarkStart w:id="143" w:name="仓储业务功能测试"/>
      <w:r>
        <w:t>6.1 仓储业务功能测试</w:t>
      </w:r>
      <w:bookmarkEnd w:id="140"/>
      <w:bookmarkEnd w:id="141"/>
      <w:bookmarkEnd w:id="142"/>
    </w:p>
    <w:p w14:paraId="2A97390A">
      <w:pPr>
        <w:spacing w:before="0" w:after="0" w:line="360" w:lineRule="auto"/>
        <w:ind w:firstLine="480"/>
        <w:jc w:val="both"/>
        <w:rPr>
          <w:rFonts w:hint="eastAsia" w:ascii="Times New Roman" w:hAnsi="Times New Roman" w:eastAsia="宋体"/>
          <w:sz w:val="24"/>
          <w:lang w:eastAsia="zh-CN"/>
        </w:rPr>
      </w:pPr>
      <w:r>
        <w:t xml:space="preserve">仓储业务测试关注的是从录入到统计的连续过程：入库能否保存并形成库存，出库能否反映真实流向，库存能否查询，统计和导出是否与页面结果一致. 主要测试情况如表11所示. </w:t>
      </w:r>
    </w:p>
    <w:p w14:paraId="70B61A73">
      <w:pPr>
        <w:spacing w:before="0" w:after="0" w:line="360" w:lineRule="auto"/>
        <w:ind w:firstLine="480"/>
        <w:jc w:val="both"/>
        <w:rPr>
          <w:rFonts w:hint="eastAsia" w:ascii="Times New Roman" w:hAnsi="Times New Roman" w:eastAsia="宋体"/>
          <w:sz w:val="24"/>
        </w:rPr>
      </w:pPr>
    </w:p>
    <w:p w14:paraId="489565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表11 仓储业务功能测试表</w:t>
      </w:r>
    </w:p>
    <w:tbl>
      <w:tblPr>
        <w:tblStyle w:val="21"/>
        <w:tblW w:w="4999" w:type="pct"/>
        <w:jc w:val="center"/>
        <w:tblCaption w:val="表11 仓储业务功能测试表"/>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80"/>
        <w:gridCol w:w="1189"/>
        <w:gridCol w:w="2632"/>
        <w:gridCol w:w="3713"/>
        <w:gridCol w:w="738"/>
      </w:tblGrid>
      <w:tr w14:paraId="47C5BAAC">
        <w:trPr>
          <w:tblHeader/>
          <w:jc w:val="center"/>
        </w:trPr>
        <w:tc>
          <w:tcPr>
            <w:tcBorders>
              <w:bottom w:val="single" w:color="auto" w:sz="4" w:space="0"/>
            </w:tcBorders>
            <w:vAlign w:val="center"/>
          </w:tcPr>
          <w:p w14:paraId="3B289C0C">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测试模块</w:t>
            </w:r>
          </w:p>
        </w:tc>
        <w:tc>
          <w:tcPr>
            <w:tcBorders>
              <w:bottom w:val="single" w:color="auto" w:sz="4" w:space="0"/>
            </w:tcBorders>
            <w:vAlign w:val="center"/>
          </w:tcPr>
          <w:p w14:paraId="58F5DAA4">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测试用例编号</w:t>
            </w:r>
          </w:p>
        </w:tc>
        <w:tc>
          <w:tcPr>
            <w:tcBorders>
              <w:bottom w:val="single" w:color="auto" w:sz="4" w:space="0"/>
            </w:tcBorders>
            <w:vAlign w:val="center"/>
          </w:tcPr>
          <w:p w14:paraId="7F87C748">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测试内容</w:t>
            </w:r>
          </w:p>
        </w:tc>
        <w:tc>
          <w:tcPr>
            <w:tcBorders>
              <w:bottom w:val="single" w:color="auto" w:sz="4" w:space="0"/>
            </w:tcBorders>
            <w:vAlign w:val="center"/>
          </w:tcPr>
          <w:p w14:paraId="43F7E036">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预期结果</w:t>
            </w:r>
          </w:p>
        </w:tc>
        <w:tc>
          <w:tcPr>
            <w:tcBorders>
              <w:bottom w:val="single" w:color="auto" w:sz="4" w:space="0"/>
            </w:tcBorders>
            <w:vAlign w:val="center"/>
          </w:tcPr>
          <w:p w14:paraId="63BAC1F8">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测试结果</w:t>
            </w:r>
          </w:p>
        </w:tc>
      </w:tr>
      <w:tr w14:paraId="00A6A295">
        <w:trPr>
          <w:jc w:val="center"/>
        </w:trPr>
        <w:tc>
          <w:tcPr>
            <w:tcBorders>
              <w:top w:val="single" w:color="auto" w:sz="4" w:space="0"/>
            </w:tcBorders>
            <w:vAlign w:val="center"/>
          </w:tcPr>
          <w:p w14:paraId="47E4E86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用户登录模块</w:t>
            </w:r>
          </w:p>
        </w:tc>
        <w:tc>
          <w:tcPr>
            <w:tcBorders>
              <w:top w:val="single" w:color="auto" w:sz="4" w:space="0"/>
            </w:tcBorders>
            <w:vAlign w:val="center"/>
          </w:tcPr>
          <w:p w14:paraId="3E25A15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TC-001</w:t>
            </w:r>
          </w:p>
        </w:tc>
        <w:tc>
          <w:tcPr>
            <w:tcBorders>
              <w:top w:val="single" w:color="auto" w:sz="4" w:space="0"/>
            </w:tcBorders>
            <w:vAlign w:val="center"/>
          </w:tcPr>
          <w:p w14:paraId="28249A1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使用正确账号密码登录系统</w:t>
            </w:r>
          </w:p>
        </w:tc>
        <w:tc>
          <w:tcPr>
            <w:tcBorders>
              <w:top w:val="single" w:color="auto" w:sz="4" w:space="0"/>
            </w:tcBorders>
            <w:vAlign w:val="center"/>
          </w:tcPr>
          <w:p w14:paraId="48F7E7A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登录成功，进入首页并生成有效令牌</w:t>
            </w:r>
          </w:p>
        </w:tc>
        <w:tc>
          <w:tcPr>
            <w:tcBorders>
              <w:top w:val="single" w:color="auto" w:sz="4" w:space="0"/>
            </w:tcBorders>
            <w:vAlign w:val="center"/>
          </w:tcPr>
          <w:p w14:paraId="1DD0D38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683F509C">
        <w:trPr>
          <w:jc w:val="center"/>
        </w:trPr>
        <w:tc>
          <w:tcPr>
            <w:vAlign w:val="center"/>
          </w:tcPr>
          <w:p w14:paraId="6A942A0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用户登录模块</w:t>
            </w:r>
          </w:p>
        </w:tc>
        <w:tc>
          <w:tcPr>
            <w:vAlign w:val="center"/>
          </w:tcPr>
          <w:p w14:paraId="5D095D3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TC-002</w:t>
            </w:r>
          </w:p>
        </w:tc>
        <w:tc>
          <w:tcPr>
            <w:vAlign w:val="center"/>
          </w:tcPr>
          <w:p w14:paraId="70086AF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使用错误密码登录系统</w:t>
            </w:r>
          </w:p>
        </w:tc>
        <w:tc>
          <w:tcPr>
            <w:vAlign w:val="center"/>
          </w:tcPr>
          <w:p w14:paraId="66D00E1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登录失败并提示认证异常</w:t>
            </w:r>
          </w:p>
        </w:tc>
        <w:tc>
          <w:tcPr>
            <w:vAlign w:val="center"/>
          </w:tcPr>
          <w:p w14:paraId="69F0062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50A3040D">
        <w:trPr>
          <w:jc w:val="center"/>
        </w:trPr>
        <w:tc>
          <w:tcPr>
            <w:vAlign w:val="center"/>
          </w:tcPr>
          <w:p w14:paraId="1B76600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订单协同模块</w:t>
            </w:r>
          </w:p>
        </w:tc>
        <w:tc>
          <w:tcPr>
            <w:vAlign w:val="center"/>
          </w:tcPr>
          <w:p w14:paraId="2F858D1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TC-003</w:t>
            </w:r>
          </w:p>
        </w:tc>
        <w:tc>
          <w:tcPr>
            <w:vAlign w:val="center"/>
          </w:tcPr>
          <w:p w14:paraId="1805749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查询一笔已录入订单的详细</w:t>
            </w:r>
          </w:p>
        </w:tc>
        <w:tc>
          <w:tcPr>
            <w:vAlign w:val="center"/>
          </w:tcPr>
          <w:p w14:paraId="635759E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页面正确返回订单信息</w:t>
            </w:r>
          </w:p>
        </w:tc>
        <w:tc>
          <w:tcPr>
            <w:vAlign w:val="center"/>
          </w:tcPr>
          <w:p w14:paraId="67DC76E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751B5AC2">
        <w:trPr>
          <w:jc w:val="center"/>
        </w:trPr>
        <w:tc>
          <w:tcPr>
            <w:vAlign w:val="center"/>
          </w:tcPr>
          <w:p w14:paraId="12E45C5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基础数据模块</w:t>
            </w:r>
          </w:p>
        </w:tc>
        <w:tc>
          <w:tcPr>
            <w:vAlign w:val="center"/>
          </w:tcPr>
          <w:p w14:paraId="1664E6C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TC-004</w:t>
            </w:r>
          </w:p>
        </w:tc>
        <w:tc>
          <w:tcPr>
            <w:vAlign w:val="center"/>
          </w:tcPr>
          <w:p w14:paraId="70B0C5A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新增一条客户或供应商信息</w:t>
            </w:r>
          </w:p>
        </w:tc>
        <w:tc>
          <w:tcPr>
            <w:vAlign w:val="center"/>
          </w:tcPr>
          <w:p w14:paraId="4C84DE0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资料保存成功，可在订单、入库和统计中被选择</w:t>
            </w:r>
          </w:p>
        </w:tc>
        <w:tc>
          <w:tcPr>
            <w:vAlign w:val="center"/>
          </w:tcPr>
          <w:p w14:paraId="5D3090E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0AA49A92">
        <w:trPr>
          <w:jc w:val="center"/>
        </w:trPr>
        <w:tc>
          <w:tcPr>
            <w:vAlign w:val="center"/>
          </w:tcPr>
          <w:p w14:paraId="085F945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入库管理模块</w:t>
            </w:r>
          </w:p>
        </w:tc>
        <w:tc>
          <w:tcPr>
            <w:vAlign w:val="center"/>
          </w:tcPr>
          <w:p w14:paraId="1478057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TC-005</w:t>
            </w:r>
          </w:p>
        </w:tc>
        <w:tc>
          <w:tcPr>
            <w:vAlign w:val="center"/>
          </w:tcPr>
          <w:p w14:paraId="2E2A796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新增一笔入库记录</w:t>
            </w:r>
          </w:p>
        </w:tc>
        <w:tc>
          <w:tcPr>
            <w:vAlign w:val="center"/>
          </w:tcPr>
          <w:p w14:paraId="0DC0AAA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入库保存成功，库存主单与明细均可查询</w:t>
            </w:r>
          </w:p>
        </w:tc>
        <w:tc>
          <w:tcPr>
            <w:vAlign w:val="center"/>
          </w:tcPr>
          <w:p w14:paraId="261767B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60F7FCE3">
        <w:trPr>
          <w:jc w:val="center"/>
        </w:trPr>
        <w:tc>
          <w:tcPr>
            <w:vAlign w:val="center"/>
          </w:tcPr>
          <w:p w14:paraId="2F91239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入库统计模块</w:t>
            </w:r>
          </w:p>
        </w:tc>
        <w:tc>
          <w:tcPr>
            <w:vAlign w:val="center"/>
          </w:tcPr>
          <w:p w14:paraId="72B16B3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TC-006</w:t>
            </w:r>
          </w:p>
        </w:tc>
        <w:tc>
          <w:tcPr>
            <w:vAlign w:val="center"/>
          </w:tcPr>
          <w:p w14:paraId="5C63DBB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按日期和仓库查询入库记录</w:t>
            </w:r>
          </w:p>
        </w:tc>
        <w:tc>
          <w:tcPr>
            <w:vAlign w:val="center"/>
          </w:tcPr>
          <w:p w14:paraId="5814A28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返回结果与录入数据一致，可正常分页与导出</w:t>
            </w:r>
          </w:p>
        </w:tc>
        <w:tc>
          <w:tcPr>
            <w:vAlign w:val="center"/>
          </w:tcPr>
          <w:p w14:paraId="487E063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145402D6">
        <w:trPr>
          <w:jc w:val="center"/>
        </w:trPr>
        <w:tc>
          <w:tcPr>
            <w:vAlign w:val="center"/>
          </w:tcPr>
          <w:p w14:paraId="32EF800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出库管理模块</w:t>
            </w:r>
          </w:p>
        </w:tc>
        <w:tc>
          <w:tcPr>
            <w:vAlign w:val="center"/>
          </w:tcPr>
          <w:p w14:paraId="228BC5D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TC-007</w:t>
            </w:r>
          </w:p>
        </w:tc>
        <w:tc>
          <w:tcPr>
            <w:vAlign w:val="center"/>
          </w:tcPr>
          <w:p w14:paraId="1B094B2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新增一笔正常发货出库记录</w:t>
            </w:r>
          </w:p>
        </w:tc>
        <w:tc>
          <w:tcPr>
            <w:vAlign w:val="center"/>
          </w:tcPr>
          <w:p w14:paraId="322308D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出库保存成功，出库方向和订单编号正确展示</w:t>
            </w:r>
          </w:p>
        </w:tc>
        <w:tc>
          <w:tcPr>
            <w:vAlign w:val="center"/>
          </w:tcPr>
          <w:p w14:paraId="4370B4E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52B74440">
        <w:trPr>
          <w:jc w:val="center"/>
        </w:trPr>
        <w:tc>
          <w:tcPr>
            <w:vAlign w:val="center"/>
          </w:tcPr>
          <w:p w14:paraId="5D07063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出库管理模块</w:t>
            </w:r>
          </w:p>
        </w:tc>
        <w:tc>
          <w:tcPr>
            <w:vAlign w:val="center"/>
          </w:tcPr>
          <w:p w14:paraId="3E826AA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TC-008</w:t>
            </w:r>
          </w:p>
        </w:tc>
        <w:tc>
          <w:tcPr>
            <w:vAlign w:val="center"/>
          </w:tcPr>
          <w:p w14:paraId="7F4ED3A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新增一笔加工后出库记录</w:t>
            </w:r>
          </w:p>
        </w:tc>
        <w:tc>
          <w:tcPr>
            <w:vAlign w:val="center"/>
          </w:tcPr>
          <w:p w14:paraId="54089FF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记录保存成功，可与普通出库区分显示</w:t>
            </w:r>
          </w:p>
        </w:tc>
        <w:tc>
          <w:tcPr>
            <w:vAlign w:val="center"/>
          </w:tcPr>
          <w:p w14:paraId="2402980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33239BD3">
        <w:trPr>
          <w:jc w:val="center"/>
        </w:trPr>
        <w:tc>
          <w:tcPr>
            <w:vAlign w:val="center"/>
          </w:tcPr>
          <w:p w14:paraId="3EA4B04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出库管理模块</w:t>
            </w:r>
          </w:p>
        </w:tc>
        <w:tc>
          <w:tcPr>
            <w:vAlign w:val="center"/>
          </w:tcPr>
          <w:p w14:paraId="67E03AE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TC-009</w:t>
            </w:r>
          </w:p>
        </w:tc>
        <w:tc>
          <w:tcPr>
            <w:vAlign w:val="center"/>
          </w:tcPr>
          <w:p w14:paraId="0C119AA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新增一笔破损出库记录</w:t>
            </w:r>
          </w:p>
        </w:tc>
        <w:tc>
          <w:tcPr>
            <w:vAlign w:val="center"/>
          </w:tcPr>
          <w:p w14:paraId="663FEEA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记录保存成功，库存流向正确标识为破损出库</w:t>
            </w:r>
          </w:p>
        </w:tc>
        <w:tc>
          <w:tcPr>
            <w:vAlign w:val="center"/>
          </w:tcPr>
          <w:p w14:paraId="510205C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47E0B486">
        <w:trPr>
          <w:jc w:val="center"/>
        </w:trPr>
        <w:tc>
          <w:tcPr>
            <w:vAlign w:val="center"/>
          </w:tcPr>
          <w:p w14:paraId="4AC9A32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库存审核模块</w:t>
            </w:r>
          </w:p>
        </w:tc>
        <w:tc>
          <w:tcPr>
            <w:vAlign w:val="center"/>
          </w:tcPr>
          <w:p w14:paraId="5C4263E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TC-010</w:t>
            </w:r>
          </w:p>
        </w:tc>
        <w:tc>
          <w:tcPr>
            <w:vAlign w:val="center"/>
          </w:tcPr>
          <w:p w14:paraId="497DAFB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对一条库存记录执行审核</w:t>
            </w:r>
          </w:p>
        </w:tc>
        <w:tc>
          <w:tcPr>
            <w:vAlign w:val="center"/>
          </w:tcPr>
          <w:p w14:paraId="4DEED3D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审核状态更新成功，列表状态同步变化</w:t>
            </w:r>
          </w:p>
        </w:tc>
        <w:tc>
          <w:tcPr>
            <w:vAlign w:val="center"/>
          </w:tcPr>
          <w:p w14:paraId="5F25D3E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450E2A47">
        <w:trPr>
          <w:jc w:val="center"/>
        </w:trPr>
        <w:tc>
          <w:tcPr>
            <w:vAlign w:val="center"/>
          </w:tcPr>
          <w:p w14:paraId="08D12C7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附件维护模块</w:t>
            </w:r>
          </w:p>
        </w:tc>
        <w:tc>
          <w:tcPr>
            <w:vAlign w:val="center"/>
          </w:tcPr>
          <w:p w14:paraId="0380C87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TC-011</w:t>
            </w:r>
          </w:p>
        </w:tc>
        <w:tc>
          <w:tcPr>
            <w:vAlign w:val="center"/>
          </w:tcPr>
          <w:p w14:paraId="2B6B25A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为已存在库存记录补充附件</w:t>
            </w:r>
          </w:p>
        </w:tc>
        <w:tc>
          <w:tcPr>
            <w:vAlign w:val="center"/>
          </w:tcPr>
          <w:p w14:paraId="5BD988C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附件更新成功，可在页面中继续查看</w:t>
            </w:r>
          </w:p>
        </w:tc>
        <w:tc>
          <w:tcPr>
            <w:vAlign w:val="center"/>
          </w:tcPr>
          <w:p w14:paraId="14FDAF6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4F929B1D">
        <w:trPr>
          <w:jc w:val="center"/>
        </w:trPr>
        <w:tc>
          <w:tcPr>
            <w:vAlign w:val="center"/>
          </w:tcPr>
          <w:p w14:paraId="4261C71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仓库变动明细</w:t>
            </w:r>
          </w:p>
        </w:tc>
        <w:tc>
          <w:tcPr>
            <w:vAlign w:val="center"/>
          </w:tcPr>
          <w:p w14:paraId="0961BC8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TC-012</w:t>
            </w:r>
          </w:p>
        </w:tc>
        <w:tc>
          <w:tcPr>
            <w:vAlign w:val="center"/>
          </w:tcPr>
          <w:p w14:paraId="0F86F21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查询某仓库指定时间段的变动明细</w:t>
            </w:r>
          </w:p>
        </w:tc>
        <w:tc>
          <w:tcPr>
            <w:vAlign w:val="center"/>
          </w:tcPr>
          <w:p w14:paraId="660217C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正确返回入库金额、出库金额和库房存货金额</w:t>
            </w:r>
          </w:p>
        </w:tc>
        <w:tc>
          <w:tcPr>
            <w:vAlign w:val="center"/>
          </w:tcPr>
          <w:p w14:paraId="0686B17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272F6E4C">
        <w:trPr>
          <w:jc w:val="center"/>
        </w:trPr>
        <w:tc>
          <w:tcPr>
            <w:vAlign w:val="center"/>
          </w:tcPr>
          <w:p w14:paraId="227208D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库存余额表</w:t>
            </w:r>
          </w:p>
        </w:tc>
        <w:tc>
          <w:tcPr>
            <w:vAlign w:val="center"/>
          </w:tcPr>
          <w:p w14:paraId="6708CBF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TC-013</w:t>
            </w:r>
          </w:p>
        </w:tc>
        <w:tc>
          <w:tcPr>
            <w:vAlign w:val="center"/>
          </w:tcPr>
          <w:p w14:paraId="2CBC719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按日期查询库存余额表</w:t>
            </w:r>
          </w:p>
        </w:tc>
        <w:tc>
          <w:tcPr>
            <w:vAlign w:val="center"/>
          </w:tcPr>
          <w:p w14:paraId="1419664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返回仓库名称及对应库存金额，合计正常显示</w:t>
            </w:r>
          </w:p>
        </w:tc>
        <w:tc>
          <w:tcPr>
            <w:vAlign w:val="center"/>
          </w:tcPr>
          <w:p w14:paraId="5A19567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75459AB9">
        <w:trPr>
          <w:jc w:val="center"/>
        </w:trPr>
        <w:tc>
          <w:tcPr>
            <w:vAlign w:val="center"/>
          </w:tcPr>
          <w:p w14:paraId="7990C21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数据导出模块</w:t>
            </w:r>
          </w:p>
        </w:tc>
        <w:tc>
          <w:tcPr>
            <w:vAlign w:val="center"/>
          </w:tcPr>
          <w:p w14:paraId="0159728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TC-014</w:t>
            </w:r>
          </w:p>
        </w:tc>
        <w:tc>
          <w:tcPr>
            <w:vAlign w:val="center"/>
          </w:tcPr>
          <w:p w14:paraId="53B3A57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导出入库记录或库存余额表</w:t>
            </w:r>
          </w:p>
        </w:tc>
        <w:tc>
          <w:tcPr>
            <w:vAlign w:val="center"/>
          </w:tcPr>
          <w:p w14:paraId="65136F3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文件生成成功，下载内容与页面查询结果一致</w:t>
            </w:r>
          </w:p>
        </w:tc>
        <w:tc>
          <w:tcPr>
            <w:vAlign w:val="center"/>
          </w:tcPr>
          <w:p w14:paraId="36F603A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bookmarkEnd w:id="143"/>
    </w:tbl>
    <w:p w14:paraId="7D20E64A">
      <w:pPr>
        <w:pStyle w:val="3"/>
      </w:pPr>
      <w:bookmarkStart w:id="144" w:name="_Toc1390056000"/>
      <w:bookmarkStart w:id="145" w:name="_Toc010032"/>
      <w:bookmarkStart w:id="146" w:name="_Toc987173702"/>
      <w:bookmarkStart w:id="147" w:name="系统管理与权限控制测试"/>
      <w:r>
        <w:t>6.2 系统管理与权限控制测试</w:t>
      </w:r>
      <w:bookmarkEnd w:id="144"/>
      <w:bookmarkEnd w:id="145"/>
      <w:bookmarkEnd w:id="146"/>
    </w:p>
    <w:p w14:paraId="0CCED01E">
      <w:pPr>
        <w:spacing w:before="0" w:after="0" w:line="360" w:lineRule="auto"/>
        <w:ind w:firstLine="480"/>
        <w:jc w:val="both"/>
        <w:rPr>
          <w:rFonts w:hint="eastAsia" w:eastAsia="宋体"/>
          <w:lang w:eastAsia="zh-CN"/>
        </w:rPr>
      </w:pPr>
      <w:r>
        <w:t xml:space="preserve">系统管理与权限测试关注两类问题：一是角色权限是否真正影响菜单和按钮，二是未授权访问是否会被拦截. 系统配置类功能也一并验证，因为它们会影响仓储模块的正常运行. 主要测试情况如表12所示. </w:t>
      </w:r>
    </w:p>
    <w:p w14:paraId="00D4A6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表12 系统管理与权限测试表</w:t>
      </w:r>
    </w:p>
    <w:tbl>
      <w:tblPr>
        <w:tblStyle w:val="21"/>
        <w:tblW w:w="4999" w:type="pct"/>
        <w:jc w:val="center"/>
        <w:tblCaption w:val="表12 系统管理与权限测试表"/>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43"/>
        <w:gridCol w:w="1055"/>
        <w:gridCol w:w="4550"/>
        <w:gridCol w:w="2308"/>
        <w:gridCol w:w="596"/>
      </w:tblGrid>
      <w:tr w14:paraId="1336025D">
        <w:trPr>
          <w:tblHeader/>
          <w:jc w:val="center"/>
        </w:trPr>
        <w:tc>
          <w:tcPr>
            <w:tcBorders>
              <w:bottom w:val="single" w:color="auto" w:sz="4" w:space="0"/>
            </w:tcBorders>
            <w:vAlign w:val="center"/>
          </w:tcPr>
          <w:p w14:paraId="1AEB8943">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测试模块</w:t>
            </w:r>
          </w:p>
        </w:tc>
        <w:tc>
          <w:tcPr>
            <w:tcBorders>
              <w:bottom w:val="single" w:color="auto" w:sz="4" w:space="0"/>
            </w:tcBorders>
            <w:vAlign w:val="center"/>
          </w:tcPr>
          <w:p w14:paraId="68ED1EE4">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测试用例编号</w:t>
            </w:r>
          </w:p>
        </w:tc>
        <w:tc>
          <w:tcPr>
            <w:tcBorders>
              <w:bottom w:val="single" w:color="auto" w:sz="4" w:space="0"/>
            </w:tcBorders>
            <w:vAlign w:val="center"/>
          </w:tcPr>
          <w:p w14:paraId="6EA042E2">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测试内容</w:t>
            </w:r>
          </w:p>
        </w:tc>
        <w:tc>
          <w:tcPr>
            <w:tcBorders>
              <w:bottom w:val="single" w:color="auto" w:sz="4" w:space="0"/>
            </w:tcBorders>
            <w:vAlign w:val="center"/>
          </w:tcPr>
          <w:p w14:paraId="02B945A1">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预期结果</w:t>
            </w:r>
          </w:p>
        </w:tc>
        <w:tc>
          <w:tcPr>
            <w:tcBorders>
              <w:bottom w:val="single" w:color="auto" w:sz="4" w:space="0"/>
            </w:tcBorders>
            <w:vAlign w:val="center"/>
          </w:tcPr>
          <w:p w14:paraId="44AB7FAD">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测试结果</w:t>
            </w:r>
          </w:p>
        </w:tc>
      </w:tr>
      <w:tr w14:paraId="76160040">
        <w:trPr>
          <w:jc w:val="center"/>
        </w:trPr>
        <w:tc>
          <w:tcPr>
            <w:tcBorders>
              <w:top w:val="single" w:color="auto" w:sz="4" w:space="0"/>
            </w:tcBorders>
            <w:vAlign w:val="center"/>
          </w:tcPr>
          <w:p w14:paraId="4C3D1F9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管理员登录</w:t>
            </w:r>
          </w:p>
        </w:tc>
        <w:tc>
          <w:tcPr>
            <w:tcBorders>
              <w:top w:val="single" w:color="auto" w:sz="4" w:space="0"/>
            </w:tcBorders>
            <w:vAlign w:val="center"/>
          </w:tcPr>
          <w:p w14:paraId="219DDE6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TC-015</w:t>
            </w:r>
          </w:p>
        </w:tc>
        <w:tc>
          <w:tcPr>
            <w:tcBorders>
              <w:top w:val="single" w:color="auto" w:sz="4" w:space="0"/>
            </w:tcBorders>
            <w:vAlign w:val="center"/>
          </w:tcPr>
          <w:p w14:paraId="689AC04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管理员使用正确凭证登录</w:t>
            </w:r>
          </w:p>
        </w:tc>
        <w:tc>
          <w:tcPr>
            <w:tcBorders>
              <w:top w:val="single" w:color="auto" w:sz="4" w:space="0"/>
            </w:tcBorders>
            <w:vAlign w:val="center"/>
          </w:tcPr>
          <w:p w14:paraId="1FC6FCF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登录成功，进入系统管理首页</w:t>
            </w:r>
          </w:p>
        </w:tc>
        <w:tc>
          <w:tcPr>
            <w:tcBorders>
              <w:top w:val="single" w:color="auto" w:sz="4" w:space="0"/>
            </w:tcBorders>
            <w:vAlign w:val="center"/>
          </w:tcPr>
          <w:p w14:paraId="3BADB44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06CE9922">
        <w:trPr>
          <w:jc w:val="center"/>
        </w:trPr>
        <w:tc>
          <w:tcPr>
            <w:vAlign w:val="center"/>
          </w:tcPr>
          <w:p w14:paraId="52AE9C3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用户管理</w:t>
            </w:r>
          </w:p>
        </w:tc>
        <w:tc>
          <w:tcPr>
            <w:vAlign w:val="center"/>
          </w:tcPr>
          <w:p w14:paraId="5AF3CE6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TC-016</w:t>
            </w:r>
          </w:p>
        </w:tc>
        <w:tc>
          <w:tcPr>
            <w:vAlign w:val="center"/>
          </w:tcPr>
          <w:p w14:paraId="2BFC245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新增一名仓库业务员并分配角色</w:t>
            </w:r>
          </w:p>
        </w:tc>
        <w:tc>
          <w:tcPr>
            <w:vAlign w:val="center"/>
          </w:tcPr>
          <w:p w14:paraId="1461D60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用户创建成功，可使用对应权限登录</w:t>
            </w:r>
          </w:p>
        </w:tc>
        <w:tc>
          <w:tcPr>
            <w:vAlign w:val="center"/>
          </w:tcPr>
          <w:p w14:paraId="050CB7D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3BE4332C">
        <w:trPr>
          <w:jc w:val="center"/>
        </w:trPr>
        <w:tc>
          <w:tcPr>
            <w:vAlign w:val="center"/>
          </w:tcPr>
          <w:p w14:paraId="73ABC4A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角色权限</w:t>
            </w:r>
          </w:p>
        </w:tc>
        <w:tc>
          <w:tcPr>
            <w:vAlign w:val="center"/>
          </w:tcPr>
          <w:p w14:paraId="4A964A5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TC-017</w:t>
            </w:r>
          </w:p>
        </w:tc>
        <w:tc>
          <w:tcPr>
            <w:vAlign w:val="center"/>
          </w:tcPr>
          <w:p w14:paraId="6C8BE5B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为角色分配仓库、客户供应商、银行卡、车辆车队、入库、出库和导出菜单权限</w:t>
            </w:r>
          </w:p>
        </w:tc>
        <w:tc>
          <w:tcPr>
            <w:vAlign w:val="center"/>
          </w:tcPr>
          <w:p w14:paraId="7291D63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授权成功，重新登录后菜单按权限显示</w:t>
            </w:r>
          </w:p>
        </w:tc>
        <w:tc>
          <w:tcPr>
            <w:vAlign w:val="center"/>
          </w:tcPr>
          <w:p w14:paraId="258E318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33605992">
        <w:trPr>
          <w:jc w:val="center"/>
        </w:trPr>
        <w:tc>
          <w:tcPr>
            <w:vAlign w:val="center"/>
          </w:tcPr>
          <w:p w14:paraId="0C3ACB7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权限校验</w:t>
            </w:r>
          </w:p>
        </w:tc>
        <w:tc>
          <w:tcPr>
            <w:vAlign w:val="center"/>
          </w:tcPr>
          <w:p w14:paraId="48F0C90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TC-018</w:t>
            </w:r>
          </w:p>
        </w:tc>
        <w:tc>
          <w:tcPr>
            <w:vAlign w:val="center"/>
          </w:tcPr>
          <w:p w14:paraId="5723448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使用无授权账户访问审核或导出功能</w:t>
            </w:r>
          </w:p>
        </w:tc>
        <w:tc>
          <w:tcPr>
            <w:vAlign w:val="center"/>
          </w:tcPr>
          <w:p w14:paraId="36CBDD2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系统拒绝访问或不显示对应操作按钮</w:t>
            </w:r>
          </w:p>
        </w:tc>
        <w:tc>
          <w:tcPr>
            <w:vAlign w:val="center"/>
          </w:tcPr>
          <w:p w14:paraId="7224F25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7177B948">
        <w:trPr>
          <w:jc w:val="center"/>
        </w:trPr>
        <w:tc>
          <w:tcPr>
            <w:vAlign w:val="center"/>
          </w:tcPr>
          <w:p w14:paraId="112518B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菜单动态路由</w:t>
            </w:r>
          </w:p>
        </w:tc>
        <w:tc>
          <w:tcPr>
            <w:vAlign w:val="center"/>
          </w:tcPr>
          <w:p w14:paraId="4236B45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TC-019</w:t>
            </w:r>
          </w:p>
        </w:tc>
        <w:tc>
          <w:tcPr>
            <w:vAlign w:val="center"/>
          </w:tcPr>
          <w:p w14:paraId="5C0732E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登录后动态拉取路由并进入业务页面</w:t>
            </w:r>
          </w:p>
        </w:tc>
        <w:tc>
          <w:tcPr>
            <w:vAlign w:val="center"/>
          </w:tcPr>
          <w:p w14:paraId="0B17E6B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路由生成成功，可访问授权页面</w:t>
            </w:r>
          </w:p>
        </w:tc>
        <w:tc>
          <w:tcPr>
            <w:vAlign w:val="center"/>
          </w:tcPr>
          <w:p w14:paraId="7E13D78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3C096D67">
        <w:trPr>
          <w:jc w:val="center"/>
        </w:trPr>
        <w:tc>
          <w:tcPr>
            <w:vAlign w:val="center"/>
          </w:tcPr>
          <w:p w14:paraId="1355085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缓存监控</w:t>
            </w:r>
          </w:p>
        </w:tc>
        <w:tc>
          <w:tcPr>
            <w:vAlign w:val="center"/>
          </w:tcPr>
          <w:p w14:paraId="66902D1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TC-020</w:t>
            </w:r>
          </w:p>
        </w:tc>
        <w:tc>
          <w:tcPr>
            <w:vAlign w:val="center"/>
          </w:tcPr>
          <w:p w14:paraId="005DF28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查看缓存状态和运行信息</w:t>
            </w:r>
          </w:p>
        </w:tc>
        <w:tc>
          <w:tcPr>
            <w:vAlign w:val="center"/>
          </w:tcPr>
          <w:p w14:paraId="6C7197F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页面返回正常，系统状态可查看</w:t>
            </w:r>
          </w:p>
        </w:tc>
        <w:tc>
          <w:tcPr>
            <w:vAlign w:val="center"/>
          </w:tcPr>
          <w:p w14:paraId="0E94FFC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196B2052">
        <w:trPr>
          <w:jc w:val="center"/>
        </w:trPr>
        <w:tc>
          <w:tcPr>
            <w:vAlign w:val="center"/>
          </w:tcPr>
          <w:p w14:paraId="1CE4A1F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任务调度</w:t>
            </w:r>
          </w:p>
        </w:tc>
        <w:tc>
          <w:tcPr>
            <w:vAlign w:val="center"/>
          </w:tcPr>
          <w:p w14:paraId="26C93C1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TC-021</w:t>
            </w:r>
          </w:p>
        </w:tc>
        <w:tc>
          <w:tcPr>
            <w:vAlign w:val="center"/>
          </w:tcPr>
          <w:p w14:paraId="7AB8597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查看导出或后台任务执行状态</w:t>
            </w:r>
          </w:p>
        </w:tc>
        <w:tc>
          <w:tcPr>
            <w:vAlign w:val="center"/>
          </w:tcPr>
          <w:p w14:paraId="1814E12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任务信息可展示，状态反馈正常</w:t>
            </w:r>
          </w:p>
        </w:tc>
        <w:tc>
          <w:tcPr>
            <w:vAlign w:val="center"/>
          </w:tcPr>
          <w:p w14:paraId="63D7183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bookmarkEnd w:id="147"/>
    </w:tbl>
    <w:p w14:paraId="0E8D32BF">
      <w:pPr>
        <w:pStyle w:val="3"/>
      </w:pPr>
      <w:bookmarkStart w:id="148" w:name="_Toc2117236439"/>
      <w:bookmarkStart w:id="149" w:name="_Toc010033"/>
      <w:bookmarkStart w:id="150" w:name="_Toc196596287"/>
      <w:bookmarkStart w:id="151" w:name="一致性与异步导出测试"/>
      <w:r>
        <w:t>6.3 一致性与异步导出测试</w:t>
      </w:r>
      <w:bookmarkEnd w:id="148"/>
      <w:bookmarkEnd w:id="149"/>
      <w:bookmarkEnd w:id="150"/>
    </w:p>
    <w:p w14:paraId="7E2B6B0B">
      <w:pPr>
        <w:spacing w:before="0" w:after="0" w:line="360" w:lineRule="auto"/>
        <w:ind w:firstLine="480"/>
        <w:jc w:val="both"/>
        <w:rPr>
          <w:rFonts w:hint="eastAsia" w:eastAsia="宋体"/>
          <w:lang w:eastAsia="zh-CN"/>
        </w:rPr>
      </w:pPr>
      <w:r>
        <w:t xml:space="preserve">除页面级功能外，系统还需要检查跨模块联动和异步导出链路. 对于WMS系统，测试重点不只是单个页面能否提交成功，而是业务完成后相关记录、状态和统计结果是否同步变化，以及后台导出时页面能否持续反馈任务状态. </w:t>
      </w:r>
    </w:p>
    <w:p w14:paraId="7E611A68">
      <w:pPr>
        <w:pStyle w:val="6"/>
      </w:pPr>
      <w:bookmarkStart w:id="152" w:name="库存联动一致性测试"/>
      <w:r>
        <w:t>6.3.1 库存联动一致性测试</w:t>
      </w:r>
    </w:p>
    <w:p w14:paraId="2CC6CC14">
      <w:pPr>
        <w:spacing w:before="0" w:after="0" w:line="360" w:lineRule="auto"/>
        <w:ind w:firstLine="480"/>
        <w:jc w:val="both"/>
        <w:rPr>
          <w:rFonts w:hint="eastAsia" w:eastAsia="宋体"/>
          <w:lang w:eastAsia="zh-CN"/>
        </w:rPr>
      </w:pPr>
      <w:r>
        <w:t xml:space="preserve">库存联动一致性测试围绕入库、出库、审核和主数据变化四类场景展开. </w:t>
      </w:r>
    </w:p>
    <w:p w14:paraId="105DB6F3">
      <w:pPr>
        <w:spacing w:before="0" w:after="0" w:line="360" w:lineRule="auto"/>
        <w:ind w:firstLine="480"/>
        <w:jc w:val="both"/>
        <w:rPr>
          <w:rFonts w:hint="eastAsia" w:eastAsia="宋体"/>
          <w:lang w:eastAsia="zh-CN"/>
        </w:rPr>
      </w:pPr>
      <w:r>
        <w:t xml:space="preserve">（1）入库后库存形成. 新增入库记录后，应能在库存主单、库存明细和入库统计结果中查到对应数据. </w:t>
      </w:r>
    </w:p>
    <w:p w14:paraId="1EA0635F">
      <w:pPr>
        <w:spacing w:before="0" w:after="0" w:line="360" w:lineRule="auto"/>
        <w:ind w:firstLine="480"/>
        <w:jc w:val="both"/>
        <w:rPr>
          <w:rFonts w:hint="eastAsia" w:eastAsia="宋体"/>
          <w:lang w:eastAsia="zh-CN"/>
        </w:rPr>
      </w:pPr>
      <w:r>
        <w:t xml:space="preserve">（2）出库后结果同步. 正常发货、加工后出库和破损出库保存后，应出现在出库记录和仓库变动明细中，并保留正确流向. </w:t>
      </w:r>
    </w:p>
    <w:p w14:paraId="06DC36F9">
      <w:pPr>
        <w:spacing w:before="0" w:after="0" w:line="360" w:lineRule="auto"/>
        <w:ind w:firstLine="480"/>
        <w:jc w:val="both"/>
        <w:rPr>
          <w:rFonts w:hint="eastAsia" w:eastAsia="宋体"/>
          <w:lang w:eastAsia="zh-CN"/>
        </w:rPr>
      </w:pPr>
      <w:r>
        <w:t xml:space="preserve">（3）审核状态回写. 库存记录执行审核或取消审核后，列表状态、详情状态和可编辑性应保持一致. </w:t>
      </w:r>
    </w:p>
    <w:p w14:paraId="5FC5ECFF">
      <w:pPr>
        <w:spacing w:before="0" w:after="0" w:line="360" w:lineRule="auto"/>
        <w:ind w:firstLine="480"/>
        <w:jc w:val="both"/>
        <w:rPr>
          <w:rFonts w:hint="eastAsia" w:eastAsia="宋体"/>
          <w:lang w:eastAsia="zh-CN"/>
        </w:rPr>
      </w:pPr>
      <w:r>
        <w:t xml:space="preserve">（4）主数据变更后的展示一致性. 仓库、客户、供应商、银行卡、车辆、车队、科目或产品级别名称发生变化后，后续查询应保持展示口径统一，避免同一历史记录前后显示割裂. </w:t>
      </w:r>
    </w:p>
    <w:p w14:paraId="2218805E">
      <w:pPr>
        <w:spacing w:before="0" w:after="0" w:line="360" w:lineRule="auto"/>
        <w:ind w:firstLine="480"/>
        <w:jc w:val="both"/>
        <w:rPr>
          <w:rFonts w:hint="eastAsia" w:eastAsia="宋体"/>
          <w:lang w:eastAsia="zh-CN"/>
        </w:rPr>
      </w:pPr>
      <w:r>
        <w:t xml:space="preserve">围绕上述内容的联动测试结果如表13所示. </w:t>
      </w:r>
    </w:p>
    <w:p w14:paraId="00668C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表13 库存联动一致性测试表</w:t>
      </w:r>
    </w:p>
    <w:tbl>
      <w:tblPr>
        <w:tblStyle w:val="21"/>
        <w:tblW w:w="0" w:type="auto"/>
        <w:jc w:val="center"/>
        <w:tblCaption w:val="表13 库存联动一致性测试表"/>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93"/>
        <w:gridCol w:w="2393"/>
        <w:gridCol w:w="2393"/>
        <w:gridCol w:w="2393"/>
      </w:tblGrid>
      <w:tr w14:paraId="10DDFBF9">
        <w:trPr>
          <w:tblHeader/>
          <w:jc w:val="center"/>
        </w:trPr>
        <w:tc>
          <w:tcPr>
            <w:tcBorders>
              <w:bottom w:val="single" w:color="auto" w:sz="4" w:space="0"/>
            </w:tcBorders>
            <w:vAlign w:val="center"/>
          </w:tcPr>
          <w:p w14:paraId="4C5FA62D">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测试场景</w:t>
            </w:r>
          </w:p>
        </w:tc>
        <w:tc>
          <w:tcPr>
            <w:tcBorders>
              <w:bottom w:val="single" w:color="auto" w:sz="4" w:space="0"/>
            </w:tcBorders>
            <w:vAlign w:val="center"/>
          </w:tcPr>
          <w:p w14:paraId="5C0C9700">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测试内容</w:t>
            </w:r>
          </w:p>
        </w:tc>
        <w:tc>
          <w:tcPr>
            <w:tcBorders>
              <w:bottom w:val="single" w:color="auto" w:sz="4" w:space="0"/>
            </w:tcBorders>
            <w:vAlign w:val="center"/>
          </w:tcPr>
          <w:p w14:paraId="1002DBD0">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预期结果</w:t>
            </w:r>
          </w:p>
        </w:tc>
        <w:tc>
          <w:tcPr>
            <w:tcBorders>
              <w:bottom w:val="single" w:color="auto" w:sz="4" w:space="0"/>
            </w:tcBorders>
            <w:vAlign w:val="center"/>
          </w:tcPr>
          <w:p w14:paraId="0C428D32">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测试结果</w:t>
            </w:r>
          </w:p>
        </w:tc>
      </w:tr>
      <w:tr w14:paraId="43CE3D4C">
        <w:trPr>
          <w:jc w:val="center"/>
        </w:trPr>
        <w:tc>
          <w:tcPr>
            <w:tcBorders>
              <w:top w:val="single" w:color="auto" w:sz="4" w:space="0"/>
            </w:tcBorders>
            <w:vAlign w:val="center"/>
          </w:tcPr>
          <w:p w14:paraId="7900A3C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入库联动</w:t>
            </w:r>
          </w:p>
        </w:tc>
        <w:tc>
          <w:tcPr>
            <w:tcBorders>
              <w:top w:val="single" w:color="auto" w:sz="4" w:space="0"/>
            </w:tcBorders>
            <w:vAlign w:val="center"/>
          </w:tcPr>
          <w:p w14:paraId="0ECC8BE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保存入库主单及明细</w:t>
            </w:r>
          </w:p>
        </w:tc>
        <w:tc>
          <w:tcPr>
            <w:tcBorders>
              <w:top w:val="single" w:color="auto" w:sz="4" w:space="0"/>
            </w:tcBorders>
            <w:vAlign w:val="center"/>
          </w:tcPr>
          <w:p w14:paraId="1FD4E6F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库存主单与明细同时形成</w:t>
            </w:r>
          </w:p>
        </w:tc>
        <w:tc>
          <w:tcPr>
            <w:tcBorders>
              <w:top w:val="single" w:color="auto" w:sz="4" w:space="0"/>
            </w:tcBorders>
            <w:vAlign w:val="center"/>
          </w:tcPr>
          <w:p w14:paraId="1A88A17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1EA1B336">
        <w:trPr>
          <w:jc w:val="center"/>
        </w:trPr>
        <w:tc>
          <w:tcPr>
            <w:vAlign w:val="center"/>
          </w:tcPr>
          <w:p w14:paraId="2E19DA3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出库联动</w:t>
            </w:r>
          </w:p>
        </w:tc>
        <w:tc>
          <w:tcPr>
            <w:vAlign w:val="center"/>
          </w:tcPr>
          <w:p w14:paraId="273A6F8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保存不同类型出库记录</w:t>
            </w:r>
          </w:p>
        </w:tc>
        <w:tc>
          <w:tcPr>
            <w:vAlign w:val="center"/>
          </w:tcPr>
          <w:p w14:paraId="2E24868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出库结果按方向正确显示</w:t>
            </w:r>
          </w:p>
        </w:tc>
        <w:tc>
          <w:tcPr>
            <w:vAlign w:val="center"/>
          </w:tcPr>
          <w:p w14:paraId="5CACBADB">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59D18A0C">
        <w:trPr>
          <w:jc w:val="center"/>
        </w:trPr>
        <w:tc>
          <w:tcPr>
            <w:vAlign w:val="center"/>
          </w:tcPr>
          <w:p w14:paraId="304FD2A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审核联动</w:t>
            </w:r>
          </w:p>
        </w:tc>
        <w:tc>
          <w:tcPr>
            <w:vAlign w:val="center"/>
          </w:tcPr>
          <w:p w14:paraId="570F33B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审核或取消审核库存记录</w:t>
            </w:r>
          </w:p>
        </w:tc>
        <w:tc>
          <w:tcPr>
            <w:vAlign w:val="center"/>
          </w:tcPr>
          <w:p w14:paraId="13A943C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状态同步回写，页面显示一致</w:t>
            </w:r>
          </w:p>
        </w:tc>
        <w:tc>
          <w:tcPr>
            <w:vAlign w:val="center"/>
          </w:tcPr>
          <w:p w14:paraId="4A99BFC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3EA04F68">
        <w:trPr>
          <w:jc w:val="center"/>
        </w:trPr>
        <w:tc>
          <w:tcPr>
            <w:vAlign w:val="center"/>
          </w:tcPr>
          <w:p w14:paraId="31AE27E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统计联动</w:t>
            </w:r>
          </w:p>
        </w:tc>
        <w:tc>
          <w:tcPr>
            <w:vAlign w:val="center"/>
          </w:tcPr>
          <w:p w14:paraId="473A395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查询仓库变动明细和库存余额</w:t>
            </w:r>
          </w:p>
        </w:tc>
        <w:tc>
          <w:tcPr>
            <w:vAlign w:val="center"/>
          </w:tcPr>
          <w:p w14:paraId="635A0BC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汇总结果与业务记录口径一致</w:t>
            </w:r>
          </w:p>
        </w:tc>
        <w:tc>
          <w:tcPr>
            <w:vAlign w:val="center"/>
          </w:tcPr>
          <w:p w14:paraId="6603BCDD">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tr w14:paraId="43D651DC">
        <w:trPr>
          <w:jc w:val="center"/>
        </w:trPr>
        <w:tc>
          <w:tcPr>
            <w:vAlign w:val="center"/>
          </w:tcPr>
          <w:p w14:paraId="11CAA58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附件联动</w:t>
            </w:r>
          </w:p>
        </w:tc>
        <w:tc>
          <w:tcPr>
            <w:vAlign w:val="center"/>
          </w:tcPr>
          <w:p w14:paraId="4830C96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更新订单或库存附件</w:t>
            </w:r>
          </w:p>
        </w:tc>
        <w:tc>
          <w:tcPr>
            <w:vAlign w:val="center"/>
          </w:tcPr>
          <w:p w14:paraId="72844CC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附件结果可追溯，业务记录不丢失</w:t>
            </w:r>
          </w:p>
        </w:tc>
        <w:tc>
          <w:tcPr>
            <w:vAlign w:val="center"/>
          </w:tcPr>
          <w:p w14:paraId="38AB9B4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通过</w:t>
            </w:r>
          </w:p>
        </w:tc>
      </w:tr>
      <w:bookmarkEnd w:id="152"/>
    </w:tbl>
    <w:p w14:paraId="5DDF9D7B">
      <w:pPr>
        <w:pStyle w:val="6"/>
      </w:pPr>
      <w:bookmarkStart w:id="153" w:name="异步导出与进度反馈测试"/>
      <w:r>
        <w:t>6.3.2 异步导出与进度反馈测试</w:t>
      </w:r>
    </w:p>
    <w:p w14:paraId="387E5CE9">
      <w:pPr>
        <w:spacing w:before="0" w:after="0" w:line="360" w:lineRule="auto"/>
        <w:ind w:firstLine="480"/>
        <w:jc w:val="both"/>
        <w:rPr>
          <w:rFonts w:hint="eastAsia" w:eastAsia="宋体"/>
          <w:lang w:eastAsia="zh-CN"/>
        </w:rPr>
      </w:pPr>
      <w:r>
        <w:t>大批量导出的测试不只看文件是否生成，还要观察后台任务、前端进度条和异常记录三部分是否衔接</w:t>
      </w:r>
      <w:r>
        <w:rPr>
          <w:rFonts w:hint="default"/>
          <w:vertAlign w:val="superscript"/>
          <w:lang w:val="en-US"/>
        </w:rPr>
        <w:fldChar w:fldCharType="begin"/>
      </w:r>
      <w:r>
        <w:instrText xml:space="preserve"> REF _Ref1943766105 \r \h  \* MERGEFORMAT</w:instrText>
      </w:r>
      <w:r>
        <w:rPr>
          <w:rFonts w:hint="default"/>
          <w:vertAlign w:val="superscript"/>
          <w:lang w:val="en-US"/>
        </w:rPr>
        <w:fldChar w:fldCharType="separate"/>
      </w:r>
      <w:r>
        <w:rPr>
          <w:rFonts w:hint="default"/>
          <w:vertAlign w:val="superscript"/>
          <w:lang w:val="en-US"/>
        </w:rPr>
        <w:t>[12]</w:t>
      </w:r>
      <w:r>
        <w:rPr>
          <w:rFonts w:hint="default"/>
          <w:vertAlign w:val="superscript"/>
          <w:lang w:val="en-US"/>
        </w:rPr>
        <w:fldChar w:fldCharType="end"/>
      </w:r>
      <w:r>
        <w:t xml:space="preserve">. </w:t>
      </w:r>
    </w:p>
    <w:p w14:paraId="2ED0E9F5">
      <w:pPr>
        <w:spacing w:before="0" w:after="0" w:line="360" w:lineRule="auto"/>
        <w:ind w:firstLine="480"/>
        <w:jc w:val="both"/>
        <w:rPr>
          <w:rFonts w:hint="eastAsia" w:eastAsia="宋体"/>
          <w:lang w:eastAsia="zh-CN"/>
        </w:rPr>
      </w:pPr>
      <w:r>
        <w:t xml:space="preserve">测试时先在页面发起后台导出，前端显示任务进度；随后WebSocket推送当前处理模块、百分比和提示信息；任务结束后，导出文件可下载，内容与查询条件对应的结果保持一致. 若某个处理环节出现局部异常，系统记录错误信息，并继续处理其他可执行部分. </w:t>
      </w:r>
    </w:p>
    <w:p w14:paraId="57502BBB">
      <w:pPr>
        <w:spacing w:before="0" w:after="0" w:line="360" w:lineRule="auto"/>
        <w:ind w:firstLine="480"/>
        <w:jc w:val="both"/>
        <w:rPr>
          <w:rFonts w:hint="eastAsia" w:eastAsia="宋体"/>
          <w:lang w:eastAsia="zh-CN"/>
        </w:rPr>
      </w:pPr>
      <w:r>
        <w:t xml:space="preserve">从结果看，长耗时导出没有阻塞页面主流程，前端进度反馈也较稳定，可用于库存余额、入出库记录等仓储报表输出场景. </w:t>
      </w:r>
    </w:p>
    <w:bookmarkEnd w:id="151"/>
    <w:bookmarkEnd w:id="153"/>
    <w:p w14:paraId="23DD943D">
      <w:pPr>
        <w:pStyle w:val="3"/>
      </w:pPr>
      <w:bookmarkStart w:id="154" w:name="_Toc1363946523"/>
      <w:bookmarkStart w:id="155" w:name="_Toc588799483"/>
      <w:bookmarkStart w:id="156" w:name="_Toc010034"/>
      <w:bookmarkStart w:id="157" w:name="企业实际应用验证"/>
      <w:r>
        <w:t>6.4 企业实际应用验证</w:t>
      </w:r>
      <w:bookmarkEnd w:id="154"/>
      <w:bookmarkEnd w:id="155"/>
      <w:bookmarkEnd w:id="156"/>
    </w:p>
    <w:p w14:paraId="0525F888">
      <w:pPr>
        <w:spacing w:before="0" w:after="0" w:line="360" w:lineRule="auto"/>
        <w:ind w:firstLine="480"/>
        <w:jc w:val="both"/>
        <w:rPr>
          <w:rFonts w:hint="eastAsia" w:eastAsia="宋体"/>
          <w:lang w:eastAsia="zh-CN"/>
        </w:rPr>
      </w:pPr>
      <w:r>
        <w:t>功能测试和联动验证完成后，系统已经投入</w:t>
      </w:r>
      <w:r>
        <w:rPr>
          <w:rFonts w:hint="eastAsia"/>
          <w:lang w:val="en-US" w:eastAsia="zh-CN"/>
        </w:rPr>
        <w:t>德州某玻璃</w:t>
      </w:r>
      <w:r>
        <w:t xml:space="preserve">企业实际操作，覆盖玻璃供应链仓储管理中的主要使用环节，包括订单查询、库存入库、正常出库、加工后出库、破损出库、库存审核、仓库变动明细查询和库存余额表导出. </w:t>
      </w:r>
    </w:p>
    <w:p w14:paraId="21C4AA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表14 企业实际应用效果</w:t>
      </w:r>
    </w:p>
    <w:tbl>
      <w:tblPr>
        <w:tblStyle w:val="21"/>
        <w:tblW w:w="0" w:type="auto"/>
        <w:jc w:val="center"/>
        <w:tblCaption w:val="表14 企业实际应用效果"/>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90"/>
        <w:gridCol w:w="3190"/>
        <w:gridCol w:w="3190"/>
      </w:tblGrid>
      <w:tr w14:paraId="4482AFE8">
        <w:trPr>
          <w:tblHeader/>
          <w:jc w:val="center"/>
        </w:trPr>
        <w:tc>
          <w:tcPr>
            <w:tcBorders>
              <w:bottom w:val="single" w:color="auto" w:sz="4" w:space="0"/>
            </w:tcBorders>
            <w:vAlign w:val="center"/>
          </w:tcPr>
          <w:p w14:paraId="340B7632">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应用维度</w:t>
            </w:r>
          </w:p>
        </w:tc>
        <w:tc>
          <w:tcPr>
            <w:tcBorders>
              <w:bottom w:val="single" w:color="auto" w:sz="4" w:space="0"/>
            </w:tcBorders>
            <w:vAlign w:val="center"/>
          </w:tcPr>
          <w:p w14:paraId="398F44DC">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实际使用内容</w:t>
            </w:r>
          </w:p>
        </w:tc>
        <w:tc>
          <w:tcPr>
            <w:tcBorders>
              <w:bottom w:val="single" w:color="auto" w:sz="4" w:space="0"/>
            </w:tcBorders>
            <w:vAlign w:val="center"/>
          </w:tcPr>
          <w:p w14:paraId="2DC1AB0C">
            <w:pPr>
              <w:keepNext w:val="0"/>
              <w:keepLines w:val="0"/>
              <w:widowControl/>
              <w:suppressLineNumbers w:val="0"/>
              <w:jc w:val="center"/>
              <w:textAlignment w:val="center"/>
              <w:rPr>
                <w:rFonts w:hint="eastAsia" w:ascii="宋体" w:hAnsi="宋体" w:eastAsia="宋体" w:cs="宋体"/>
                <w:b/>
                <w:i w:val="0"/>
                <w:color w:val="000000"/>
                <w:kern w:val="0"/>
                <w:sz w:val="22"/>
                <w:szCs w:val="22"/>
                <w:u w:val="none"/>
                <w:lang w:val="en-US" w:eastAsia="zh-CN" w:bidi="ar"/>
              </w:rPr>
            </w:pPr>
            <w:r>
              <w:rPr>
                <w:rFonts w:hint="eastAsia" w:ascii="宋体" w:hAnsi="宋体" w:eastAsia="宋体" w:cs="宋体"/>
                <w:b/>
                <w:i w:val="0"/>
                <w:color w:val="000000"/>
                <w:kern w:val="0"/>
                <w:sz w:val="22"/>
                <w:szCs w:val="22"/>
                <w:u w:val="none"/>
                <w:lang w:val="en-US" w:eastAsia="zh-CN" w:bidi="ar"/>
              </w:rPr>
              <w:t>应用效果</w:t>
            </w:r>
          </w:p>
        </w:tc>
      </w:tr>
      <w:tr w14:paraId="04B545B2">
        <w:trPr>
          <w:jc w:val="center"/>
        </w:trPr>
        <w:tc>
          <w:tcPr>
            <w:tcBorders>
              <w:top w:val="single" w:color="auto" w:sz="4" w:space="0"/>
            </w:tcBorders>
            <w:vAlign w:val="center"/>
          </w:tcPr>
          <w:p w14:paraId="33E51477">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仓储作业</w:t>
            </w:r>
          </w:p>
        </w:tc>
        <w:tc>
          <w:tcPr>
            <w:tcBorders>
              <w:top w:val="single" w:color="auto" w:sz="4" w:space="0"/>
            </w:tcBorders>
            <w:vAlign w:val="center"/>
          </w:tcPr>
          <w:p w14:paraId="3161314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订单查询、入库录入、出库处理</w:t>
            </w:r>
          </w:p>
        </w:tc>
        <w:tc>
          <w:tcPr>
            <w:tcBorders>
              <w:top w:val="single" w:color="auto" w:sz="4" w:space="0"/>
            </w:tcBorders>
            <w:vAlign w:val="center"/>
          </w:tcPr>
          <w:p w14:paraId="628EEA2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减少重复录入，作业记录更集中</w:t>
            </w:r>
          </w:p>
        </w:tc>
      </w:tr>
      <w:tr w14:paraId="4DD7C912">
        <w:trPr>
          <w:jc w:val="center"/>
        </w:trPr>
        <w:tc>
          <w:tcPr>
            <w:vAlign w:val="center"/>
          </w:tcPr>
          <w:p w14:paraId="234B10FF">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数据追溯</w:t>
            </w:r>
          </w:p>
        </w:tc>
        <w:tc>
          <w:tcPr>
            <w:vAlign w:val="center"/>
          </w:tcPr>
          <w:p w14:paraId="2453D77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审核状态、附件补录、历史查询</w:t>
            </w:r>
          </w:p>
        </w:tc>
        <w:tc>
          <w:tcPr>
            <w:vAlign w:val="center"/>
          </w:tcPr>
          <w:p w14:paraId="2C4653D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问题回查路径更清楚，过程资料更完整</w:t>
            </w:r>
          </w:p>
        </w:tc>
      </w:tr>
      <w:tr w14:paraId="298C6916">
        <w:trPr>
          <w:jc w:val="center"/>
        </w:trPr>
        <w:tc>
          <w:tcPr>
            <w:vAlign w:val="center"/>
          </w:tcPr>
          <w:p w14:paraId="38D123D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库存统计</w:t>
            </w:r>
          </w:p>
        </w:tc>
        <w:tc>
          <w:tcPr>
            <w:vAlign w:val="center"/>
          </w:tcPr>
          <w:p w14:paraId="108D10B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入出库记录、仓库变动明细、库存余额表</w:t>
            </w:r>
          </w:p>
        </w:tc>
        <w:tc>
          <w:tcPr>
            <w:vAlign w:val="center"/>
          </w:tcPr>
          <w:p w14:paraId="1D753F90">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库存核对更方便，余额变化更直观</w:t>
            </w:r>
          </w:p>
        </w:tc>
      </w:tr>
      <w:tr w14:paraId="01C790B8">
        <w:trPr>
          <w:jc w:val="center"/>
        </w:trPr>
        <w:tc>
          <w:tcPr>
            <w:vAlign w:val="center"/>
          </w:tcPr>
          <w:p w14:paraId="51B4153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报表输出</w:t>
            </w:r>
          </w:p>
        </w:tc>
        <w:tc>
          <w:tcPr>
            <w:vAlign w:val="center"/>
          </w:tcPr>
          <w:p w14:paraId="7C424268">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Excel 导出、后台任务、进度反馈</w:t>
            </w:r>
          </w:p>
        </w:tc>
        <w:tc>
          <w:tcPr>
            <w:vAlign w:val="center"/>
          </w:tcPr>
          <w:p w14:paraId="3F1C6C9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大批量文件输出更稳定，等待状态更明确</w:t>
            </w:r>
          </w:p>
        </w:tc>
      </w:tr>
    </w:tbl>
    <w:p w14:paraId="13EA3AD3">
      <w:pPr>
        <w:spacing w:before="0" w:after="0" w:line="360" w:lineRule="auto"/>
        <w:ind w:firstLine="480"/>
        <w:jc w:val="both"/>
      </w:pPr>
    </w:p>
    <w:p w14:paraId="5039FC14">
      <w:pPr>
        <w:spacing w:before="0" w:after="0" w:line="360" w:lineRule="auto"/>
        <w:ind w:firstLine="480"/>
        <w:jc w:val="both"/>
        <w:rPr>
          <w:rFonts w:hint="eastAsia" w:eastAsia="宋体"/>
          <w:lang w:eastAsia="zh-CN"/>
        </w:rPr>
      </w:pPr>
      <w:r>
        <w:t xml:space="preserve">测试和企业试用结果说明，系统的权限边界、仓储作业、库存统计和异步导出链路均已达到论文设计目标，能够支撑玻璃供应链企业的日常仓储操作，并具备继续完善的基础. </w:t>
      </w:r>
    </w:p>
    <w:bookmarkEnd w:id="139"/>
    <w:bookmarkEnd w:id="157"/>
    <w:p w14:paraId="1DACA1BB">
      <w:pPr>
        <w:pStyle w:val="2"/>
      </w:pPr>
      <w:bookmarkStart w:id="158" w:name="_Toc010035"/>
      <w:bookmarkStart w:id="159" w:name="_Toc348265405"/>
      <w:bookmarkStart w:id="160" w:name="_Toc1608763983"/>
      <w:bookmarkStart w:id="161" w:name="总结与展望"/>
      <w:r>
        <w:t>7 总结与展望</w:t>
      </w:r>
      <w:bookmarkEnd w:id="158"/>
      <w:bookmarkEnd w:id="159"/>
      <w:bookmarkEnd w:id="160"/>
    </w:p>
    <w:p w14:paraId="60D5FA92">
      <w:pPr>
        <w:pStyle w:val="3"/>
      </w:pPr>
      <w:bookmarkStart w:id="162" w:name="_Toc1677146551"/>
      <w:bookmarkStart w:id="163" w:name="_Toc1403723760"/>
      <w:bookmarkStart w:id="164" w:name="_Toc010036"/>
      <w:bookmarkStart w:id="165" w:name="总结"/>
      <w:r>
        <w:t>7.1 总结</w:t>
      </w:r>
      <w:bookmarkEnd w:id="162"/>
      <w:bookmarkEnd w:id="163"/>
      <w:bookmarkEnd w:id="164"/>
    </w:p>
    <w:p w14:paraId="6CF71D3A">
      <w:pPr>
        <w:spacing w:before="0" w:after="0" w:line="360" w:lineRule="auto"/>
        <w:ind w:firstLine="480"/>
        <w:jc w:val="both"/>
        <w:rPr>
          <w:rFonts w:hint="eastAsia" w:eastAsia="宋体"/>
          <w:lang w:eastAsia="zh-CN"/>
        </w:rPr>
      </w:pPr>
      <w:r>
        <w:t xml:space="preserve">本文的工作围绕玻璃供应商经营管理中的几个实际矛盾展开：客户、供应商、车辆、账户、科目、订单、规格、批次和仓库信息分散，出入库记录需要与库存余额持续对应，运输和资金信息又会影响后续核对，报表导出还要求在大数据量下保持可用. 基于这些问题，论文完成了需求梳理、架构设计、功能开发和测试验证等工作，最终形成一套面向玻璃供应链场景的业务管理系统. </w:t>
      </w:r>
    </w:p>
    <w:p w14:paraId="69035254">
      <w:pPr>
        <w:spacing w:before="0" w:after="0" w:line="360" w:lineRule="auto"/>
        <w:ind w:firstLine="480"/>
        <w:jc w:val="both"/>
        <w:rPr>
          <w:rFonts w:hint="eastAsia" w:eastAsia="宋体"/>
          <w:lang w:eastAsia="zh-CN"/>
        </w:rPr>
      </w:pPr>
      <w:r>
        <w:t xml:space="preserve">业务建模方面，论文没有把仓储管理压缩成入库、出库两个孤立动作，而是把客户、供应商、银行卡、车辆、车队、科目、产品级别、订单、入库单、出库单、订单运费、库存审核、变动明细和余额统计放在同一条链路中处理. 这样做的原因在于，玻璃产品的规格、承运信息、资金账户和流转状态会直接影响后续核对，只有链路连续，数据追溯才有实际意义. </w:t>
      </w:r>
    </w:p>
    <w:p w14:paraId="07A134F9">
      <w:pPr>
        <w:spacing w:before="0" w:after="0" w:line="360" w:lineRule="auto"/>
        <w:ind w:firstLine="480"/>
        <w:jc w:val="both"/>
        <w:rPr>
          <w:rFonts w:hint="eastAsia" w:eastAsia="宋体"/>
          <w:lang w:eastAsia="zh-CN"/>
        </w:rPr>
      </w:pPr>
      <w:r>
        <w:t xml:space="preserve">技术实现方面，系统采用模块化单体结构. 后端由Spring Boot承载业务接口，前端由Vue.js和Element UI组织页面；MyBatis-Plus、MySQL、Redis、RabbitMQ和Quartz分别服务于数据读写、持久化、缓存、异步消息和定时任务. 各组件都围绕权限控制、库存一致性、报表导出和运行维护展开. </w:t>
      </w:r>
    </w:p>
    <w:p w14:paraId="4347A613">
      <w:pPr>
        <w:spacing w:before="0" w:after="0" w:line="360" w:lineRule="auto"/>
        <w:ind w:firstLine="480"/>
        <w:jc w:val="both"/>
        <w:rPr>
          <w:rFonts w:hint="eastAsia" w:eastAsia="宋体"/>
          <w:lang w:eastAsia="zh-CN"/>
        </w:rPr>
      </w:pPr>
      <w:r>
        <w:t xml:space="preserve">功能落地方面，订单协同、库存主从表、正常发货出库、加工后出库、破损出库、库存审核、附件维护、仓库变动明细和库存余额导出已经形成连续业务路径. 针对等待时间长、状态不同步和追踪困难等实际问题，系统加入统一请求封装、动态路由、WebSocket进度反馈和事件联动处理，使页面操作与后台处理之间的衔接更清楚. </w:t>
      </w:r>
    </w:p>
    <w:p w14:paraId="18337A58">
      <w:pPr>
        <w:spacing w:before="0" w:after="0" w:line="360" w:lineRule="auto"/>
        <w:ind w:firstLine="480"/>
        <w:jc w:val="both"/>
        <w:rPr>
          <w:rFonts w:hint="eastAsia" w:eastAsia="宋体"/>
          <w:lang w:eastAsia="zh-CN"/>
        </w:rPr>
      </w:pPr>
      <w:r>
        <w:t xml:space="preserve">验证方面，论文检查了功能流程、权限边界、业务联动和异步导出. 测试结果表明，系统能够完成玻璃供应链仓储场景中的录入、查询、审核、统计和报表输出，多个模块之间的数据口径基本保持一致，具备继续应用和完善的基础. </w:t>
      </w:r>
    </w:p>
    <w:p w14:paraId="158A5BA7">
      <w:pPr>
        <w:spacing w:before="0" w:after="0" w:line="360" w:lineRule="auto"/>
        <w:ind w:firstLine="480"/>
        <w:jc w:val="both"/>
        <w:rPr>
          <w:rFonts w:hint="eastAsia" w:eastAsia="宋体"/>
          <w:lang w:eastAsia="zh-CN"/>
        </w:rPr>
      </w:pPr>
      <w:r>
        <w:t xml:space="preserve">总体来看，本课题完成的系统更像是对玻璃供应商订单、仓储、运输和资金过程的一次重新梳理，而不是对通用WMS页面的简单复用. 客户、供应商、车辆、银行卡、订单、库存、仓库和统计报表之间的关系被组织到同一套功能中，为后续增加移动采集、库存预警和外部系统对接留下了基础. </w:t>
      </w:r>
    </w:p>
    <w:bookmarkEnd w:id="165"/>
    <w:p w14:paraId="37CE2221">
      <w:pPr>
        <w:pStyle w:val="3"/>
      </w:pPr>
      <w:bookmarkStart w:id="166" w:name="_Toc010037"/>
      <w:bookmarkStart w:id="167" w:name="_Toc129888378"/>
      <w:bookmarkStart w:id="168" w:name="_Toc2079215782"/>
      <w:bookmarkStart w:id="169" w:name="展望"/>
      <w:r>
        <w:t>7.2 展望</w:t>
      </w:r>
      <w:bookmarkEnd w:id="166"/>
      <w:bookmarkEnd w:id="167"/>
      <w:bookmarkEnd w:id="168"/>
    </w:p>
    <w:p w14:paraId="0702391B">
      <w:pPr>
        <w:spacing w:before="0" w:after="0" w:line="360" w:lineRule="auto"/>
        <w:ind w:firstLine="480"/>
        <w:jc w:val="both"/>
        <w:rPr>
          <w:rFonts w:hint="eastAsia" w:eastAsia="宋体"/>
          <w:lang w:eastAsia="zh-CN"/>
        </w:rPr>
      </w:pPr>
      <w:r>
        <w:t xml:space="preserve">受开发周期、测试环境和企业样本规模限制，本系统还没有覆盖玻璃仓储现场的所有细节. 后续完善可以优先围绕现场采集、数据呈现、测试覆盖和外部协同展开，而不是盲目扩大功能菜单. </w:t>
      </w:r>
    </w:p>
    <w:p w14:paraId="11625AAB">
      <w:pPr>
        <w:spacing w:before="0" w:after="0" w:line="360" w:lineRule="auto"/>
        <w:ind w:firstLine="480"/>
        <w:jc w:val="both"/>
        <w:rPr>
          <w:rFonts w:hint="eastAsia" w:eastAsia="宋体"/>
          <w:lang w:eastAsia="zh-CN"/>
        </w:rPr>
      </w:pPr>
      <w:r>
        <w:t xml:space="preserve">（1）补充条码和移动端作业能力. 当前系统主要面向PC端后台操作，适合录入、审核、查询和导出. 若要贴近仓库现场，还需要把条码、二维码或移动端采集接入入库扫码、出库复核和盘点流程，减少纸质单据与二次录入带来的差错. </w:t>
      </w:r>
    </w:p>
    <w:p w14:paraId="5046984D">
      <w:pPr>
        <w:spacing w:before="0" w:after="0" w:line="360" w:lineRule="auto"/>
        <w:ind w:firstLine="480"/>
        <w:jc w:val="both"/>
        <w:rPr>
          <w:rFonts w:hint="eastAsia" w:eastAsia="宋体"/>
          <w:lang w:eastAsia="zh-CN"/>
        </w:rPr>
      </w:pPr>
      <w:r>
        <w:t xml:space="preserve">（2）优化库存数据呈现. 当前库存余额和仓库变动明细已经能给出统计结果，但趋势判断仍主要依赖人工阅读表格. 后续可以在保持原有统计口径的基础上，增加按仓库、规格、日期、客户或订单聚合的图表，用于辅助发现库存波动和异常出库. </w:t>
      </w:r>
    </w:p>
    <w:p w14:paraId="7E2F616B">
      <w:pPr>
        <w:spacing w:before="0" w:after="0" w:line="360" w:lineRule="auto"/>
        <w:ind w:firstLine="480"/>
        <w:jc w:val="both"/>
        <w:rPr>
          <w:rFonts w:hint="eastAsia" w:eastAsia="宋体"/>
          <w:lang w:eastAsia="zh-CN"/>
        </w:rPr>
      </w:pPr>
      <w:r>
        <w:t xml:space="preserve">（3）补充异常场景测试. 现有测试更偏向登录、录入、审核、查询和导出等常规路径，对并发提交、导出中断、权限切换、消息重试和库存回滚等情况覆盖不足. 后续应把这些场景整理为回归用例，避免修改代码后破坏关键链路. </w:t>
      </w:r>
    </w:p>
    <w:p w14:paraId="485524C8">
      <w:pPr>
        <w:spacing w:before="0" w:after="0" w:line="360" w:lineRule="auto"/>
        <w:ind w:firstLine="480"/>
        <w:jc w:val="both"/>
        <w:rPr>
          <w:rFonts w:hint="eastAsia" w:eastAsia="宋体"/>
          <w:lang w:eastAsia="zh-CN"/>
        </w:rPr>
      </w:pPr>
      <w:r>
        <w:t xml:space="preserve">（4）探索仓储辅助决策. 订单执行和库存变动数据积累到一定规模后，可以尝试库存预警、异常损耗提示和出库优先级建议等能力. 这些功能更适合作为仓储人员的提示信息，而不是替代人工确认. </w:t>
      </w:r>
    </w:p>
    <w:p w14:paraId="18922E09">
      <w:pPr>
        <w:spacing w:before="0" w:after="0" w:line="360" w:lineRule="auto"/>
        <w:ind w:firstLine="480"/>
        <w:jc w:val="both"/>
        <w:rPr>
          <w:rFonts w:hint="eastAsia" w:eastAsia="宋体"/>
          <w:lang w:eastAsia="zh-CN"/>
        </w:rPr>
      </w:pPr>
      <w:r>
        <w:t xml:space="preserve">（5）推进外部系统对接. 玻璃仓储数据还会影响采购、运输、财务结算和客户服务. 后续可结合企业流程开放接口或交换文件，与采购系统、运输系统、财务系统、银行流水平台或第三方物流平台同步必要数据，减少客户、供应商、车辆、银行卡和科目等基础资料的重复录入. </w:t>
      </w:r>
    </w:p>
    <w:p w14:paraId="0CFB27CC">
      <w:pPr>
        <w:spacing w:before="0" w:after="0" w:line="360" w:lineRule="auto"/>
        <w:ind w:firstLine="480"/>
        <w:jc w:val="both"/>
        <w:rPr>
          <w:rFonts w:hint="eastAsia" w:ascii="Times New Roman" w:hAnsi="Times New Roman" w:eastAsia="宋体"/>
          <w:sz w:val="24"/>
        </w:rPr>
      </w:pPr>
      <w:r>
        <w:t xml:space="preserve">如果后续能够继续完善现场采集、图表分析、异常测试和系统接口，本文实现的WMS可以在仓储记录功能之外，进一步承担作业辅助、库存分析和供应链协同支撑作用. </w:t>
      </w:r>
    </w:p>
    <w:p w14:paraId="2E534107">
      <w:pPr>
        <w:spacing w:before="0" w:after="0" w:line="360" w:lineRule="auto"/>
        <w:ind w:firstLine="480"/>
        <w:jc w:val="both"/>
        <w:rPr>
          <w:rFonts w:hint="eastAsia" w:ascii="Times New Roman" w:hAnsi="Times New Roman" w:eastAsia="宋体"/>
          <w:sz w:val="24"/>
        </w:rPr>
      </w:pPr>
    </w:p>
    <w:p w14:paraId="4B5BBE61">
      <w:pPr>
        <w:spacing w:before="0" w:after="0" w:line="360" w:lineRule="auto"/>
        <w:ind w:firstLine="480"/>
        <w:jc w:val="both"/>
        <w:rPr>
          <w:rFonts w:hint="eastAsia" w:ascii="Times New Roman" w:hAnsi="Times New Roman" w:eastAsia="宋体"/>
          <w:sz w:val="24"/>
        </w:rPr>
      </w:pPr>
    </w:p>
    <w:p w14:paraId="3B6D7AE5">
      <w:pPr>
        <w:spacing w:before="0" w:after="0" w:line="360" w:lineRule="auto"/>
        <w:ind w:firstLine="480"/>
        <w:jc w:val="both"/>
        <w:rPr>
          <w:rFonts w:hint="eastAsia" w:ascii="Times New Roman" w:hAnsi="Times New Roman" w:eastAsia="宋体"/>
          <w:sz w:val="24"/>
        </w:rPr>
      </w:pPr>
    </w:p>
    <w:p w14:paraId="764E1A63">
      <w:pPr>
        <w:spacing w:before="0" w:after="0" w:line="360" w:lineRule="auto"/>
        <w:ind w:firstLine="480"/>
        <w:jc w:val="both"/>
        <w:rPr>
          <w:rFonts w:hint="eastAsia" w:ascii="Times New Roman" w:hAnsi="Times New Roman" w:eastAsia="宋体"/>
          <w:sz w:val="24"/>
        </w:rPr>
      </w:pPr>
    </w:p>
    <w:p w14:paraId="13B5711E">
      <w:pPr>
        <w:spacing w:before="0" w:after="0" w:line="360" w:lineRule="auto"/>
        <w:ind w:firstLine="480"/>
        <w:jc w:val="both"/>
        <w:rPr>
          <w:rFonts w:hint="eastAsia" w:ascii="Times New Roman" w:hAnsi="Times New Roman" w:eastAsia="宋体"/>
          <w:sz w:val="24"/>
        </w:rPr>
      </w:pPr>
    </w:p>
    <w:p w14:paraId="5A9C22BD">
      <w:pPr>
        <w:spacing w:before="0" w:after="0" w:line="360" w:lineRule="auto"/>
        <w:ind w:firstLine="480"/>
        <w:jc w:val="both"/>
        <w:rPr>
          <w:rFonts w:hint="eastAsia" w:ascii="Times New Roman" w:hAnsi="Times New Roman" w:eastAsia="宋体"/>
          <w:sz w:val="24"/>
        </w:rPr>
      </w:pPr>
    </w:p>
    <w:p w14:paraId="38C29BD1">
      <w:pPr>
        <w:spacing w:before="0" w:after="0" w:line="360" w:lineRule="auto"/>
        <w:ind w:firstLine="480"/>
        <w:jc w:val="both"/>
        <w:rPr>
          <w:rFonts w:hint="eastAsia" w:ascii="Times New Roman" w:hAnsi="Times New Roman" w:eastAsia="宋体"/>
          <w:sz w:val="24"/>
        </w:rPr>
      </w:pPr>
    </w:p>
    <w:p w14:paraId="63191E00">
      <w:pPr>
        <w:spacing w:before="0" w:after="0" w:line="360" w:lineRule="auto"/>
        <w:ind w:firstLine="480"/>
        <w:jc w:val="both"/>
        <w:rPr>
          <w:rFonts w:hint="eastAsia" w:ascii="Times New Roman" w:hAnsi="Times New Roman" w:eastAsia="宋体"/>
          <w:sz w:val="24"/>
        </w:rPr>
      </w:pPr>
    </w:p>
    <w:p w14:paraId="06225D12">
      <w:pPr>
        <w:spacing w:before="0" w:after="0" w:line="360" w:lineRule="auto"/>
        <w:ind w:firstLine="480"/>
        <w:jc w:val="both"/>
        <w:rPr>
          <w:rFonts w:hint="eastAsia" w:ascii="Times New Roman" w:hAnsi="Times New Roman" w:eastAsia="宋体"/>
          <w:sz w:val="24"/>
        </w:rPr>
      </w:pPr>
    </w:p>
    <w:p w14:paraId="63C85272">
      <w:pPr>
        <w:spacing w:before="0" w:after="0" w:line="360" w:lineRule="auto"/>
        <w:ind w:firstLine="480"/>
        <w:jc w:val="both"/>
        <w:rPr>
          <w:rFonts w:hint="eastAsia" w:ascii="Times New Roman" w:hAnsi="Times New Roman" w:eastAsia="宋体"/>
          <w:sz w:val="24"/>
        </w:rPr>
      </w:pPr>
    </w:p>
    <w:bookmarkEnd w:id="161"/>
    <w:bookmarkEnd w:id="169"/>
    <w:p w14:paraId="71038604">
      <w:pPr>
        <w:rPr>
          <w:rFonts w:hint="eastAsia" w:ascii="黑体" w:hAnsi="黑体" w:eastAsia="黑体"/>
          <w:b/>
          <w:sz w:val="28"/>
        </w:rPr>
      </w:pPr>
      <w:bookmarkStart w:id="170" w:name="_Toc010038"/>
      <w:bookmarkStart w:id="171" w:name="参考文献"/>
    </w:p>
    <w:p w14:paraId="61F8A8C3">
      <w:pPr>
        <w:rPr>
          <w:rFonts w:hint="eastAsia" w:ascii="黑体" w:hAnsi="黑体" w:eastAsia="黑体"/>
          <w:b/>
          <w:sz w:val="28"/>
        </w:rPr>
      </w:pPr>
    </w:p>
    <w:p w14:paraId="134D8FA3">
      <w:pPr>
        <w:rPr>
          <w:rFonts w:hint="eastAsia" w:ascii="黑体" w:hAnsi="黑体" w:eastAsia="黑体"/>
          <w:b/>
          <w:sz w:val="28"/>
        </w:rPr>
      </w:pPr>
    </w:p>
    <w:p w14:paraId="3E40D667">
      <w:pPr>
        <w:rPr>
          <w:rFonts w:hint="eastAsia" w:ascii="黑体" w:hAnsi="黑体" w:eastAsia="黑体"/>
          <w:b/>
          <w:sz w:val="28"/>
        </w:rPr>
      </w:pPr>
    </w:p>
    <w:p w14:paraId="3BB534F4">
      <w:pPr>
        <w:rPr>
          <w:rFonts w:hint="eastAsia" w:ascii="黑体" w:hAnsi="黑体" w:eastAsia="黑体"/>
          <w:b/>
          <w:sz w:val="28"/>
        </w:rPr>
      </w:pPr>
    </w:p>
    <w:p w14:paraId="301583D5">
      <w:pPr>
        <w:rPr>
          <w:rFonts w:hint="eastAsia" w:ascii="黑体" w:hAnsi="黑体" w:eastAsia="黑体"/>
          <w:b/>
          <w:sz w:val="28"/>
        </w:rPr>
      </w:pPr>
    </w:p>
    <w:p w14:paraId="3007E7F0">
      <w:pPr>
        <w:rPr>
          <w:rFonts w:hint="eastAsia" w:ascii="黑体" w:hAnsi="黑体" w:eastAsia="黑体"/>
          <w:b/>
          <w:sz w:val="28"/>
        </w:rPr>
      </w:pPr>
    </w:p>
    <w:p w14:paraId="2BFC8037">
      <w:pPr>
        <w:rPr>
          <w:rFonts w:hint="eastAsia" w:ascii="黑体" w:hAnsi="黑体" w:eastAsia="黑体"/>
          <w:b/>
          <w:sz w:val="28"/>
        </w:rPr>
      </w:pPr>
    </w:p>
    <w:p w14:paraId="2B6ABC25">
      <w:pPr>
        <w:rPr>
          <w:rFonts w:hint="eastAsia" w:ascii="黑体" w:hAnsi="黑体" w:eastAsia="黑体"/>
          <w:b/>
          <w:sz w:val="28"/>
        </w:rPr>
      </w:pPr>
    </w:p>
    <w:p w14:paraId="45E6EE14">
      <w:pPr>
        <w:rPr>
          <w:rFonts w:hint="eastAsia" w:ascii="黑体" w:hAnsi="黑体" w:eastAsia="黑体"/>
          <w:b/>
          <w:sz w:val="28"/>
        </w:rPr>
      </w:pPr>
    </w:p>
    <w:p w14:paraId="0EC108D9">
      <w:pPr>
        <w:rPr>
          <w:rFonts w:hint="eastAsia" w:ascii="黑体" w:hAnsi="黑体" w:eastAsia="黑体"/>
          <w:b/>
          <w:sz w:val="28"/>
        </w:rPr>
      </w:pPr>
    </w:p>
    <w:p w14:paraId="04BFA12D">
      <w:pPr>
        <w:pStyle w:val="2"/>
      </w:pPr>
      <w:bookmarkStart w:id="172" w:name="_Toc1525744090"/>
      <w:bookmarkStart w:id="173" w:name="_Toc1190583694"/>
      <w:r>
        <w:rPr>
          <w:b/>
        </w:rPr>
        <w:t>参考文献</w:t>
      </w:r>
      <w:bookmarkEnd w:id="170"/>
      <w:bookmarkEnd w:id="172"/>
      <w:bookmarkEnd w:id="173"/>
    </w:p>
    <w:p w14:paraId="7DCC84DF">
      <w:pPr>
        <w:numPr>
          <w:ilvl w:val="0"/>
          <w:numId w:val="1"/>
        </w:numPr>
        <w:spacing w:line="360" w:lineRule="auto"/>
        <w:rPr>
          <w:rFonts w:hint="eastAsia" w:ascii="Times New Roman" w:hAnsi="Times New Roman" w:eastAsia="楷体" w:cs="Times New Roman"/>
          <w:sz w:val="21"/>
        </w:rPr>
      </w:pPr>
      <w:bookmarkStart w:id="174" w:name="Ref_1"/>
      <w:r>
        <w:rPr>
          <w:rFonts w:hint="eastAsia" w:ascii="Times New Roman" w:hAnsi="Times New Roman" w:eastAsia="楷体" w:cs="Times New Roman"/>
          <w:sz w:val="21"/>
        </w:rPr>
        <w:t>瞿业明, 李洪兵, 李伟. WMS仓储管理系统的研究与应用[J]. 现代管理, 2023, 13(5): 74-80. DOI:10.12677/MM.2023.135074.</w:t>
      </w:r>
      <w:bookmarkEnd w:id="174"/>
    </w:p>
    <w:p w14:paraId="5C06B5D8">
      <w:pPr>
        <w:numPr>
          <w:ilvl w:val="0"/>
          <w:numId w:val="1"/>
        </w:numPr>
        <w:spacing w:line="360" w:lineRule="auto"/>
        <w:rPr>
          <w:rFonts w:hint="eastAsia" w:ascii="Times New Roman" w:hAnsi="Times New Roman" w:eastAsia="楷体" w:cs="Times New Roman"/>
          <w:sz w:val="21"/>
        </w:rPr>
      </w:pPr>
      <w:bookmarkStart w:id="175" w:name="Ref_2"/>
      <w:r>
        <w:rPr>
          <w:rFonts w:hint="eastAsia" w:ascii="Times New Roman" w:hAnsi="Times New Roman" w:eastAsia="楷体" w:cs="Times New Roman"/>
          <w:sz w:val="21"/>
        </w:rPr>
        <w:t>魏旭强. 基于物联网的智能化仓储系统研究[J]. 建筑理论, 2023(2):45-50.</w:t>
      </w:r>
      <w:bookmarkEnd w:id="175"/>
    </w:p>
    <w:p w14:paraId="245641ED">
      <w:pPr>
        <w:numPr>
          <w:ilvl w:val="0"/>
          <w:numId w:val="1"/>
        </w:numPr>
        <w:spacing w:line="360" w:lineRule="auto"/>
        <w:rPr>
          <w:rFonts w:hint="eastAsia" w:ascii="Times New Roman" w:hAnsi="Times New Roman" w:eastAsia="楷体" w:cs="Times New Roman"/>
          <w:sz w:val="21"/>
        </w:rPr>
      </w:pPr>
      <w:bookmarkStart w:id="176" w:name="_Ref1955009988"/>
      <w:r>
        <w:rPr>
          <w:rFonts w:hint="eastAsia" w:ascii="Times New Roman" w:hAnsi="Times New Roman" w:eastAsia="楷体" w:cs="Times New Roman"/>
          <w:sz w:val="21"/>
          <w:lang w:val="en-US" w:eastAsia="zh-CN"/>
        </w:rPr>
        <w:t>王凯. 基于Spring Boot与Vue的前后端分离系统设计[J]. 软件导刊, 2023, 22(09): 134-138.</w:t>
      </w:r>
      <w:bookmarkEnd w:id="176"/>
    </w:p>
    <w:p w14:paraId="7C8F559D">
      <w:pPr>
        <w:numPr>
          <w:ilvl w:val="0"/>
          <w:numId w:val="1"/>
        </w:numPr>
        <w:spacing w:line="360" w:lineRule="auto"/>
        <w:rPr>
          <w:rFonts w:hint="eastAsia" w:ascii="Times New Roman" w:hAnsi="Times New Roman" w:eastAsia="楷体" w:cs="Times New Roman"/>
          <w:sz w:val="21"/>
        </w:rPr>
      </w:pPr>
      <w:bookmarkStart w:id="177" w:name="Ref_4"/>
      <w:r>
        <w:rPr>
          <w:rFonts w:hint="eastAsia" w:ascii="Times New Roman" w:hAnsi="Times New Roman" w:eastAsia="楷体" w:cs="Times New Roman"/>
          <w:sz w:val="21"/>
        </w:rPr>
        <w:t>张海涛. 基于Spring Boot的订单管理系统设计与实现[J]. 计算机时代, 2023,(10):78-81.</w:t>
      </w:r>
      <w:bookmarkEnd w:id="177"/>
    </w:p>
    <w:p w14:paraId="2752E372">
      <w:pPr>
        <w:numPr>
          <w:ilvl w:val="0"/>
          <w:numId w:val="1"/>
        </w:numPr>
        <w:spacing w:line="360" w:lineRule="auto"/>
        <w:rPr>
          <w:rFonts w:hint="eastAsia" w:ascii="Times New Roman" w:hAnsi="Times New Roman" w:eastAsia="楷体" w:cs="Times New Roman"/>
          <w:sz w:val="21"/>
        </w:rPr>
      </w:pPr>
      <w:bookmarkStart w:id="178" w:name="Ref_5"/>
      <w:r>
        <w:rPr>
          <w:rFonts w:hint="eastAsia" w:ascii="Times New Roman" w:hAnsi="Times New Roman" w:eastAsia="楷体" w:cs="Times New Roman"/>
          <w:sz w:val="21"/>
        </w:rPr>
        <w:t>李明, 赵强. ERP系统中订单处理模块的优化研究[J]. 企业管理, 2024, 26(03):145-148.</w:t>
      </w:r>
      <w:bookmarkEnd w:id="178"/>
    </w:p>
    <w:p w14:paraId="309BDBCB">
      <w:pPr>
        <w:numPr>
          <w:ilvl w:val="0"/>
          <w:numId w:val="1"/>
        </w:numPr>
        <w:spacing w:line="360" w:lineRule="auto"/>
        <w:rPr>
          <w:rFonts w:hint="eastAsia" w:ascii="Times New Roman" w:hAnsi="Times New Roman" w:eastAsia="楷体" w:cs="Times New Roman"/>
          <w:sz w:val="21"/>
        </w:rPr>
      </w:pPr>
      <w:bookmarkStart w:id="179" w:name="Ref_6"/>
      <w:r>
        <w:rPr>
          <w:rFonts w:hint="eastAsia" w:ascii="Times New Roman" w:hAnsi="Times New Roman" w:eastAsia="楷体" w:cs="Times New Roman"/>
          <w:sz w:val="21"/>
        </w:rPr>
        <w:t>王建伟. 基于微服务的企业订单管理系统架构设计[J]. 软件工程, 2023, 27(12):89-93.</w:t>
      </w:r>
      <w:bookmarkEnd w:id="179"/>
    </w:p>
    <w:p w14:paraId="620B2BA2">
      <w:pPr>
        <w:numPr>
          <w:ilvl w:val="0"/>
          <w:numId w:val="1"/>
        </w:numPr>
        <w:spacing w:line="360" w:lineRule="auto"/>
        <w:rPr>
          <w:rFonts w:hint="eastAsia" w:ascii="Times New Roman" w:hAnsi="Times New Roman" w:eastAsia="楷体" w:cs="Times New Roman"/>
          <w:sz w:val="21"/>
        </w:rPr>
      </w:pPr>
      <w:bookmarkStart w:id="180" w:name="Ref_7"/>
      <w:r>
        <w:rPr>
          <w:rFonts w:hint="eastAsia" w:ascii="Times New Roman" w:hAnsi="Times New Roman" w:eastAsia="楷体" w:cs="Times New Roman"/>
          <w:sz w:val="21"/>
        </w:rPr>
        <w:t>陈伟. 订单管理系统中供应商关系管理的实现[J]. 物流科技, 2024, 47(02):112-115.</w:t>
      </w:r>
      <w:bookmarkEnd w:id="180"/>
    </w:p>
    <w:p w14:paraId="234F9DFE">
      <w:pPr>
        <w:numPr>
          <w:ilvl w:val="0"/>
          <w:numId w:val="1"/>
        </w:numPr>
        <w:spacing w:line="360" w:lineRule="auto"/>
        <w:rPr>
          <w:rFonts w:hint="eastAsia" w:ascii="Times New Roman" w:hAnsi="Times New Roman" w:eastAsia="楷体" w:cs="Times New Roman"/>
          <w:sz w:val="21"/>
        </w:rPr>
      </w:pPr>
      <w:bookmarkStart w:id="181" w:name="Ref_8"/>
      <w:r>
        <w:rPr>
          <w:rFonts w:hint="eastAsia" w:ascii="Times New Roman" w:hAnsi="Times New Roman" w:eastAsia="楷体" w:cs="Times New Roman"/>
          <w:sz w:val="21"/>
        </w:rPr>
        <w:t>刘晓明. 基于Spring Boot的ERP系统采购订单模块开发[J]. 信息系统工程, 2023, 31(09):67-71.</w:t>
      </w:r>
      <w:bookmarkEnd w:id="181"/>
    </w:p>
    <w:p w14:paraId="5A7BB59E">
      <w:pPr>
        <w:numPr>
          <w:ilvl w:val="0"/>
          <w:numId w:val="1"/>
        </w:numPr>
        <w:spacing w:line="360" w:lineRule="auto"/>
        <w:rPr>
          <w:rFonts w:hint="eastAsia" w:ascii="Times New Roman" w:hAnsi="Times New Roman" w:eastAsia="楷体" w:cs="Times New Roman"/>
          <w:sz w:val="21"/>
        </w:rPr>
      </w:pPr>
      <w:bookmarkStart w:id="182" w:name="Ref_9"/>
      <w:r>
        <w:rPr>
          <w:rFonts w:hint="eastAsia" w:ascii="Times New Roman" w:hAnsi="Times New Roman" w:eastAsia="楷体" w:cs="Times New Roman"/>
          <w:sz w:val="21"/>
        </w:rPr>
        <w:t>张丽华. 订单管理系统数据安全与隐私保护策略研究[J]. 网络安全技术与应用, 2024, 22(11):156-160.</w:t>
      </w:r>
      <w:bookmarkEnd w:id="182"/>
    </w:p>
    <w:p w14:paraId="5DCD1C05">
      <w:pPr>
        <w:numPr>
          <w:ilvl w:val="0"/>
          <w:numId w:val="1"/>
        </w:numPr>
        <w:spacing w:line="360" w:lineRule="auto"/>
        <w:rPr>
          <w:rFonts w:hint="eastAsia" w:ascii="Times New Roman" w:hAnsi="Times New Roman" w:eastAsia="楷体" w:cs="Times New Roman"/>
          <w:sz w:val="21"/>
        </w:rPr>
      </w:pPr>
      <w:bookmarkStart w:id="183" w:name="Ref_10"/>
      <w:r>
        <w:rPr>
          <w:rFonts w:hint="eastAsia" w:ascii="Times New Roman" w:hAnsi="Times New Roman" w:eastAsia="楷体" w:cs="Times New Roman"/>
          <w:sz w:val="21"/>
        </w:rPr>
        <w:t>张晓明, 王磊. WMS在制造业仓储中的应用研究[J]. 物流技术, 2023, 42(8):112-115.</w:t>
      </w:r>
      <w:bookmarkEnd w:id="183"/>
    </w:p>
    <w:p w14:paraId="0B0B26C4">
      <w:pPr>
        <w:numPr>
          <w:ilvl w:val="0"/>
          <w:numId w:val="1"/>
        </w:numPr>
        <w:spacing w:line="360" w:lineRule="auto"/>
        <w:rPr>
          <w:rFonts w:hint="eastAsia" w:ascii="Times New Roman" w:hAnsi="Times New Roman" w:eastAsia="楷体" w:cs="Times New Roman"/>
          <w:sz w:val="21"/>
        </w:rPr>
      </w:pPr>
      <w:bookmarkStart w:id="184" w:name="_Ref1942421545"/>
      <w:r>
        <w:rPr>
          <w:rFonts w:hint="eastAsia" w:ascii="Times New Roman" w:hAnsi="Times New Roman" w:eastAsia="楷体" w:cs="Times New Roman"/>
          <w:sz w:val="21"/>
          <w:lang w:val="en-US" w:eastAsia="zh-CN"/>
        </w:rPr>
        <w:t>周鹏. 电商平台订单管理系统架构设计研究[J]. 电子商务, 2023(11): 66-70.</w:t>
      </w:r>
      <w:bookmarkEnd w:id="184"/>
    </w:p>
    <w:p w14:paraId="7906CC44">
      <w:pPr>
        <w:numPr>
          <w:ilvl w:val="0"/>
          <w:numId w:val="1"/>
        </w:numPr>
        <w:spacing w:line="360" w:lineRule="auto"/>
        <w:rPr>
          <w:rFonts w:hint="eastAsia" w:ascii="Times New Roman" w:hAnsi="Times New Roman" w:eastAsia="楷体" w:cs="Times New Roman"/>
          <w:sz w:val="21"/>
        </w:rPr>
      </w:pPr>
      <w:bookmarkStart w:id="185" w:name="_Ref1943766105"/>
      <w:r>
        <w:rPr>
          <w:rFonts w:hint="eastAsia" w:ascii="Times New Roman" w:hAnsi="Times New Roman" w:eastAsia="楷体" w:cs="Times New Roman"/>
          <w:sz w:val="21"/>
          <w:lang w:val="en-US" w:eastAsia="zh-CN"/>
        </w:rPr>
        <w:t>黄志强. 面向高并发的订单处理系统优化研究[J]. 计算机应用研究, 2024, 41(04): 1205-1209.</w:t>
      </w:r>
      <w:bookmarkEnd w:id="185"/>
    </w:p>
    <w:bookmarkEnd w:id="171"/>
    <w:p w14:paraId="70913389">
      <w:pPr>
        <w:numPr>
          <w:ilvl w:val="0"/>
          <w:numId w:val="0"/>
        </w:numPr>
        <w:snapToGrid w:val="0"/>
        <w:spacing w:before="0" w:after="0" w:line="360" w:lineRule="auto"/>
        <w:ind w:leftChars="0"/>
        <w:jc w:val="both"/>
        <w:textAlignment w:val="auto"/>
      </w:pPr>
      <w:bookmarkStart w:id="186" w:name="致谢"/>
    </w:p>
    <w:bookmarkEnd w:id="186"/>
    <w:sectPr>
      <w:headerReference r:id="rId3" w:type="default"/>
      <w:footerReference r:id="rId4" w:type="default"/>
      <w:pgSz w:w="11906" w:h="16838"/>
      <w:pgMar w:top="1134" w:right="1134" w:bottom="1134" w:left="1134" w:header="851" w:footer="992" w:gutter="284"/>
      <w:pgBorders>
        <w:top w:val="none" w:sz="0" w:space="0"/>
        <w:left w:val="none" w:sz="0" w:space="0"/>
        <w:bottom w:val="none" w:sz="0" w:space="0"/>
        <w:right w:val="none" w:sz="0" w:space="0"/>
      </w:pgBorders>
      <w:pgNumType w:fmt="decimal" w:start="1"/>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仿宋">
    <w:altName w:val="仿宋-简"/>
    <w:panose1 w:val="02010609060101010101"/>
    <w:charset w:val="86"/>
    <w:family w:val="auto"/>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23244">
    <w:pPr>
      <w:pStyle w:val="14"/>
      <w:ind w:right="360"/>
      <w:rPr>
        <w:rFonts w:hint="eastAsia"/>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1403A0">
                          <w:pPr>
                            <w:pStyle w:val="14"/>
                            <w:ind w:right="360"/>
                            <w:rPr>
                              <w:rFonts w:hint="eastAsia"/>
                            </w:rPr>
                          </w:pPr>
                          <w:r>
                            <w:fldChar w:fldCharType="begin"/>
                          </w:r>
                          <w:r>
                            <w:instrText xml:space="preserve"> PAGE  \* MERGEFORMAT </w:instrText>
                          </w:r>
                          <w:r>
                            <w:fldChar w:fldCharType="separate"/>
                          </w:r>
                          <w:r>
                            <w:rPr>
                              <w:sz w:val="18"/>
                            </w:rP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F1403A0">
                    <w:pPr>
                      <w:pStyle w:val="14"/>
                      <w:ind w:right="360"/>
                      <w:rPr>
                        <w:rFonts w:hint="eastAsia"/>
                      </w:rPr>
                    </w:pPr>
                    <w:r>
                      <w:fldChar w:fldCharType="begin"/>
                    </w:r>
                    <w:r>
                      <w:instrText xml:space="preserve"> PAGE  \* MERGEFORMAT </w:instrText>
                    </w:r>
                    <w:r>
                      <w:fldChar w:fldCharType="separate"/>
                    </w:r>
                    <w:r>
                      <w:rPr>
                        <w:sz w:val="18"/>
                      </w:rP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9D934">
    <w:pPr>
      <w:pBdr>
        <w:bottom w:val="single" w:color="auto" w:sz="4" w:space="1"/>
      </w:pBdr>
      <w:jc w:val="center"/>
      <w:textAlignment w:val="center"/>
      <w:rPr>
        <w:rFonts w:hint="eastAsia"/>
        <w:lang w:eastAsia="zh-CN"/>
      </w:rPr>
    </w:pPr>
    <w:r>
      <w:rPr>
        <w:rFonts w:hint="eastAsia" w:ascii="仿宋" w:hAnsi="仿宋" w:eastAsia="仿宋" w:cs="仿宋"/>
        <w:kern w:val="0"/>
        <w:sz w:val="24"/>
        <w:szCs w:val="24"/>
      </w:rPr>
      <w:t>德州学院    计算机与信息学院     2026届    软件工程专业   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3034CB"/>
    <w:multiLevelType w:val="multilevel"/>
    <w:tmpl w:val="653034CB"/>
    <w:lvl w:ilvl="0" w:tentative="0">
      <w:start w:val="1"/>
      <w:numFmt w:val="decimal"/>
      <w:lvlText w:val="[%1]"/>
      <w:lvlJc w:val="left"/>
      <w:pPr>
        <w:ind w:left="440" w:hanging="440"/>
      </w:pPr>
      <w:rPr>
        <w:rFonts w:hint="eastAsia"/>
        <w:sz w:val="21"/>
        <w:szCs w:val="21"/>
      </w:rPr>
    </w:lvl>
    <w:lvl w:ilvl="1" w:tentative="0">
      <w:start w:val="1"/>
      <w:numFmt w:val="lowerLetter"/>
      <w:lvlText w:val="%2)"/>
      <w:lvlJc w:val="left"/>
      <w:pPr>
        <w:ind w:left="498" w:hanging="440"/>
      </w:pPr>
    </w:lvl>
    <w:lvl w:ilvl="2" w:tentative="0">
      <w:start w:val="1"/>
      <w:numFmt w:val="lowerRoman"/>
      <w:lvlText w:val="%3."/>
      <w:lvlJc w:val="right"/>
      <w:pPr>
        <w:ind w:left="938" w:hanging="440"/>
      </w:pPr>
    </w:lvl>
    <w:lvl w:ilvl="3" w:tentative="0">
      <w:start w:val="1"/>
      <w:numFmt w:val="decimal"/>
      <w:lvlText w:val="%4."/>
      <w:lvlJc w:val="left"/>
      <w:pPr>
        <w:ind w:left="1378" w:hanging="440"/>
      </w:pPr>
    </w:lvl>
    <w:lvl w:ilvl="4" w:tentative="0">
      <w:start w:val="1"/>
      <w:numFmt w:val="lowerLetter"/>
      <w:lvlText w:val="%5)"/>
      <w:lvlJc w:val="left"/>
      <w:pPr>
        <w:ind w:left="1818" w:hanging="440"/>
      </w:pPr>
    </w:lvl>
    <w:lvl w:ilvl="5" w:tentative="0">
      <w:start w:val="1"/>
      <w:numFmt w:val="lowerRoman"/>
      <w:lvlText w:val="%6."/>
      <w:lvlJc w:val="right"/>
      <w:pPr>
        <w:ind w:left="2258" w:hanging="440"/>
      </w:pPr>
    </w:lvl>
    <w:lvl w:ilvl="6" w:tentative="0">
      <w:start w:val="1"/>
      <w:numFmt w:val="decimal"/>
      <w:lvlText w:val="%7."/>
      <w:lvlJc w:val="left"/>
      <w:pPr>
        <w:ind w:left="2698" w:hanging="440"/>
      </w:pPr>
    </w:lvl>
    <w:lvl w:ilvl="7" w:tentative="0">
      <w:start w:val="1"/>
      <w:numFmt w:val="lowerLetter"/>
      <w:lvlText w:val="%8)"/>
      <w:lvlJc w:val="left"/>
      <w:pPr>
        <w:ind w:left="3138" w:hanging="440"/>
      </w:pPr>
    </w:lvl>
    <w:lvl w:ilvl="8" w:tentative="0">
      <w:start w:val="1"/>
      <w:numFmt w:val="lowerRoman"/>
      <w:lvlText w:val="%9."/>
      <w:lvlJc w:val="right"/>
      <w:pPr>
        <w:ind w:left="3578"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doNotShadeFormData w:val="1"/>
  <w:noPunctuationKerning w:val="1"/>
  <w:characterSpacingControl w:val="compressPunctuation"/>
  <w:noLineBreaksAfter w:lang="zh-CN" w:val="([{·‘“〈《「『【〔〖（．［｛￡￥"/>
  <w:noLineBreaksBefore w:lang="zh-CN" w:val="!),.:;?]}¨·ˇˉ―‖’”…∶、。〃々〉》」』】〕〗！＂＇），．：；？］｀｜｝～￠"/>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I2ZTg4NmQzYzRjZDUwYzFiZWI5NzQ2NDgxYzIzOGYifQ=="/>
  </w:docVars>
  <w:rsids>
    <w:rsidRoot w:val="00172A27"/>
    <w:rsid w:val="00001EBC"/>
    <w:rsid w:val="00002CEE"/>
    <w:rsid w:val="00034436"/>
    <w:rsid w:val="00041483"/>
    <w:rsid w:val="0004696F"/>
    <w:rsid w:val="000552B4"/>
    <w:rsid w:val="00062A25"/>
    <w:rsid w:val="00065541"/>
    <w:rsid w:val="00067A2C"/>
    <w:rsid w:val="000750AF"/>
    <w:rsid w:val="000869B2"/>
    <w:rsid w:val="00092C79"/>
    <w:rsid w:val="00092D6B"/>
    <w:rsid w:val="00093EDC"/>
    <w:rsid w:val="000958C2"/>
    <w:rsid w:val="0009680E"/>
    <w:rsid w:val="0009694F"/>
    <w:rsid w:val="000971C8"/>
    <w:rsid w:val="000A2849"/>
    <w:rsid w:val="000B500C"/>
    <w:rsid w:val="000B754E"/>
    <w:rsid w:val="000B7C14"/>
    <w:rsid w:val="000C0926"/>
    <w:rsid w:val="000C1791"/>
    <w:rsid w:val="000C2E03"/>
    <w:rsid w:val="000C6629"/>
    <w:rsid w:val="000D1BAD"/>
    <w:rsid w:val="000E17E4"/>
    <w:rsid w:val="000E484A"/>
    <w:rsid w:val="000F4390"/>
    <w:rsid w:val="00103107"/>
    <w:rsid w:val="0010425A"/>
    <w:rsid w:val="00105035"/>
    <w:rsid w:val="00115664"/>
    <w:rsid w:val="00130397"/>
    <w:rsid w:val="001346CF"/>
    <w:rsid w:val="0014244D"/>
    <w:rsid w:val="00142513"/>
    <w:rsid w:val="0015624A"/>
    <w:rsid w:val="00157912"/>
    <w:rsid w:val="001670AA"/>
    <w:rsid w:val="00171B1B"/>
    <w:rsid w:val="00180467"/>
    <w:rsid w:val="00183717"/>
    <w:rsid w:val="001873AD"/>
    <w:rsid w:val="00194FB6"/>
    <w:rsid w:val="001952EC"/>
    <w:rsid w:val="001B169C"/>
    <w:rsid w:val="001B33FA"/>
    <w:rsid w:val="001B7FD0"/>
    <w:rsid w:val="001C20D2"/>
    <w:rsid w:val="001E4D6F"/>
    <w:rsid w:val="001F035A"/>
    <w:rsid w:val="001F2C04"/>
    <w:rsid w:val="001F579B"/>
    <w:rsid w:val="002018DD"/>
    <w:rsid w:val="00206678"/>
    <w:rsid w:val="00210806"/>
    <w:rsid w:val="00212B0C"/>
    <w:rsid w:val="00224C87"/>
    <w:rsid w:val="002253C9"/>
    <w:rsid w:val="002270C9"/>
    <w:rsid w:val="0023361E"/>
    <w:rsid w:val="00234714"/>
    <w:rsid w:val="00235CD8"/>
    <w:rsid w:val="002429FA"/>
    <w:rsid w:val="002473DB"/>
    <w:rsid w:val="00257833"/>
    <w:rsid w:val="00262CF9"/>
    <w:rsid w:val="00277320"/>
    <w:rsid w:val="00287A6A"/>
    <w:rsid w:val="002A10CE"/>
    <w:rsid w:val="002A2EAD"/>
    <w:rsid w:val="002A332E"/>
    <w:rsid w:val="002A3AFC"/>
    <w:rsid w:val="002C2F1B"/>
    <w:rsid w:val="002C3D53"/>
    <w:rsid w:val="002D5605"/>
    <w:rsid w:val="002D759C"/>
    <w:rsid w:val="002E56C5"/>
    <w:rsid w:val="002F5F60"/>
    <w:rsid w:val="002F6315"/>
    <w:rsid w:val="00305642"/>
    <w:rsid w:val="003165F5"/>
    <w:rsid w:val="003203C4"/>
    <w:rsid w:val="00323C48"/>
    <w:rsid w:val="003244A9"/>
    <w:rsid w:val="0032571B"/>
    <w:rsid w:val="00326EAD"/>
    <w:rsid w:val="003363C5"/>
    <w:rsid w:val="00343824"/>
    <w:rsid w:val="00361305"/>
    <w:rsid w:val="003621E3"/>
    <w:rsid w:val="00364584"/>
    <w:rsid w:val="003708E8"/>
    <w:rsid w:val="00380ADF"/>
    <w:rsid w:val="003844CF"/>
    <w:rsid w:val="00387197"/>
    <w:rsid w:val="003917E3"/>
    <w:rsid w:val="003A1E0E"/>
    <w:rsid w:val="003A5D50"/>
    <w:rsid w:val="003B328B"/>
    <w:rsid w:val="003B39D3"/>
    <w:rsid w:val="003C767A"/>
    <w:rsid w:val="003D593F"/>
    <w:rsid w:val="003D64D3"/>
    <w:rsid w:val="003E004D"/>
    <w:rsid w:val="003F4397"/>
    <w:rsid w:val="003F753E"/>
    <w:rsid w:val="004006A1"/>
    <w:rsid w:val="00406523"/>
    <w:rsid w:val="00407063"/>
    <w:rsid w:val="00407B94"/>
    <w:rsid w:val="0041108E"/>
    <w:rsid w:val="004201CA"/>
    <w:rsid w:val="0042726F"/>
    <w:rsid w:val="004273CF"/>
    <w:rsid w:val="00437C18"/>
    <w:rsid w:val="0045566F"/>
    <w:rsid w:val="004566B7"/>
    <w:rsid w:val="004606AE"/>
    <w:rsid w:val="00460A1B"/>
    <w:rsid w:val="00461085"/>
    <w:rsid w:val="0047133D"/>
    <w:rsid w:val="00477772"/>
    <w:rsid w:val="0048615E"/>
    <w:rsid w:val="00495A15"/>
    <w:rsid w:val="004B08DE"/>
    <w:rsid w:val="004B52F3"/>
    <w:rsid w:val="004C26B4"/>
    <w:rsid w:val="004C6B01"/>
    <w:rsid w:val="004D495E"/>
    <w:rsid w:val="004D552F"/>
    <w:rsid w:val="004E36B0"/>
    <w:rsid w:val="004F5540"/>
    <w:rsid w:val="00501FAE"/>
    <w:rsid w:val="00504BCD"/>
    <w:rsid w:val="00514B8C"/>
    <w:rsid w:val="0052458A"/>
    <w:rsid w:val="00531845"/>
    <w:rsid w:val="00532863"/>
    <w:rsid w:val="00541040"/>
    <w:rsid w:val="00542B93"/>
    <w:rsid w:val="00550A4B"/>
    <w:rsid w:val="00571EDD"/>
    <w:rsid w:val="00571FF9"/>
    <w:rsid w:val="00580379"/>
    <w:rsid w:val="00582148"/>
    <w:rsid w:val="00595B88"/>
    <w:rsid w:val="005972B4"/>
    <w:rsid w:val="005A1F6E"/>
    <w:rsid w:val="005A2F0C"/>
    <w:rsid w:val="005A749D"/>
    <w:rsid w:val="005A7D86"/>
    <w:rsid w:val="005C4E56"/>
    <w:rsid w:val="005C65D9"/>
    <w:rsid w:val="005D5A80"/>
    <w:rsid w:val="005D67A2"/>
    <w:rsid w:val="005F3E2A"/>
    <w:rsid w:val="0060382F"/>
    <w:rsid w:val="00611B42"/>
    <w:rsid w:val="006202ED"/>
    <w:rsid w:val="0062151E"/>
    <w:rsid w:val="006231C0"/>
    <w:rsid w:val="006241D1"/>
    <w:rsid w:val="0062700D"/>
    <w:rsid w:val="00632D4C"/>
    <w:rsid w:val="00650196"/>
    <w:rsid w:val="006524C3"/>
    <w:rsid w:val="00657748"/>
    <w:rsid w:val="00662D56"/>
    <w:rsid w:val="00670081"/>
    <w:rsid w:val="0067793E"/>
    <w:rsid w:val="006843D8"/>
    <w:rsid w:val="00685CFE"/>
    <w:rsid w:val="006A44EA"/>
    <w:rsid w:val="006C087F"/>
    <w:rsid w:val="006C0B64"/>
    <w:rsid w:val="006C5EF4"/>
    <w:rsid w:val="006F0C18"/>
    <w:rsid w:val="006F5606"/>
    <w:rsid w:val="0070142E"/>
    <w:rsid w:val="00710AB8"/>
    <w:rsid w:val="00716843"/>
    <w:rsid w:val="00726849"/>
    <w:rsid w:val="00731FBD"/>
    <w:rsid w:val="0073279E"/>
    <w:rsid w:val="00743FA7"/>
    <w:rsid w:val="0074453F"/>
    <w:rsid w:val="00766DA4"/>
    <w:rsid w:val="00776CB3"/>
    <w:rsid w:val="00782594"/>
    <w:rsid w:val="00782B4B"/>
    <w:rsid w:val="0078434C"/>
    <w:rsid w:val="007853E0"/>
    <w:rsid w:val="007A0766"/>
    <w:rsid w:val="007A2DB6"/>
    <w:rsid w:val="007A66DA"/>
    <w:rsid w:val="007B1CDA"/>
    <w:rsid w:val="007B250C"/>
    <w:rsid w:val="007B4A89"/>
    <w:rsid w:val="007C14EE"/>
    <w:rsid w:val="007C1C70"/>
    <w:rsid w:val="007C1DE1"/>
    <w:rsid w:val="007C2E58"/>
    <w:rsid w:val="007D1FD2"/>
    <w:rsid w:val="007D2B14"/>
    <w:rsid w:val="007D33F2"/>
    <w:rsid w:val="007D550A"/>
    <w:rsid w:val="007D5ABE"/>
    <w:rsid w:val="007E14DC"/>
    <w:rsid w:val="007E5C93"/>
    <w:rsid w:val="007F7C71"/>
    <w:rsid w:val="00800033"/>
    <w:rsid w:val="008027DF"/>
    <w:rsid w:val="00802ECD"/>
    <w:rsid w:val="008137AC"/>
    <w:rsid w:val="00815188"/>
    <w:rsid w:val="00815913"/>
    <w:rsid w:val="00820FBE"/>
    <w:rsid w:val="00826F82"/>
    <w:rsid w:val="00832315"/>
    <w:rsid w:val="00833E78"/>
    <w:rsid w:val="008367B6"/>
    <w:rsid w:val="008408EF"/>
    <w:rsid w:val="00842390"/>
    <w:rsid w:val="00843213"/>
    <w:rsid w:val="00843231"/>
    <w:rsid w:val="008562EE"/>
    <w:rsid w:val="00864128"/>
    <w:rsid w:val="008641F1"/>
    <w:rsid w:val="00875B8F"/>
    <w:rsid w:val="00877AFF"/>
    <w:rsid w:val="00884F35"/>
    <w:rsid w:val="00894326"/>
    <w:rsid w:val="00895B58"/>
    <w:rsid w:val="008B1828"/>
    <w:rsid w:val="008C0828"/>
    <w:rsid w:val="008C2A0E"/>
    <w:rsid w:val="008D25CB"/>
    <w:rsid w:val="008D65F6"/>
    <w:rsid w:val="008E2F19"/>
    <w:rsid w:val="008F68B6"/>
    <w:rsid w:val="00901B64"/>
    <w:rsid w:val="009153DE"/>
    <w:rsid w:val="00924760"/>
    <w:rsid w:val="00932368"/>
    <w:rsid w:val="00946C46"/>
    <w:rsid w:val="00947283"/>
    <w:rsid w:val="0094754E"/>
    <w:rsid w:val="009502D5"/>
    <w:rsid w:val="00971C5C"/>
    <w:rsid w:val="00973693"/>
    <w:rsid w:val="00990245"/>
    <w:rsid w:val="00991564"/>
    <w:rsid w:val="0099627E"/>
    <w:rsid w:val="009A090B"/>
    <w:rsid w:val="009A1DBC"/>
    <w:rsid w:val="009C1A5B"/>
    <w:rsid w:val="009C720A"/>
    <w:rsid w:val="009D3529"/>
    <w:rsid w:val="009D4772"/>
    <w:rsid w:val="009F257A"/>
    <w:rsid w:val="00A01FE1"/>
    <w:rsid w:val="00A0456F"/>
    <w:rsid w:val="00A05214"/>
    <w:rsid w:val="00A12803"/>
    <w:rsid w:val="00A20D56"/>
    <w:rsid w:val="00A21A15"/>
    <w:rsid w:val="00A244D8"/>
    <w:rsid w:val="00A325E6"/>
    <w:rsid w:val="00A34394"/>
    <w:rsid w:val="00A47E1B"/>
    <w:rsid w:val="00A77554"/>
    <w:rsid w:val="00A77827"/>
    <w:rsid w:val="00A854EE"/>
    <w:rsid w:val="00A908AF"/>
    <w:rsid w:val="00A90BC2"/>
    <w:rsid w:val="00A90C46"/>
    <w:rsid w:val="00AA4A3C"/>
    <w:rsid w:val="00AA7E89"/>
    <w:rsid w:val="00AA7F28"/>
    <w:rsid w:val="00AB0162"/>
    <w:rsid w:val="00AB3A5C"/>
    <w:rsid w:val="00AD2C2A"/>
    <w:rsid w:val="00AD3BA9"/>
    <w:rsid w:val="00AE4518"/>
    <w:rsid w:val="00AF07C1"/>
    <w:rsid w:val="00AF68BC"/>
    <w:rsid w:val="00B0234B"/>
    <w:rsid w:val="00B0424C"/>
    <w:rsid w:val="00B053AA"/>
    <w:rsid w:val="00B25824"/>
    <w:rsid w:val="00B25A17"/>
    <w:rsid w:val="00B26B45"/>
    <w:rsid w:val="00B35500"/>
    <w:rsid w:val="00B402E0"/>
    <w:rsid w:val="00B4119A"/>
    <w:rsid w:val="00B429D9"/>
    <w:rsid w:val="00B4609C"/>
    <w:rsid w:val="00B46778"/>
    <w:rsid w:val="00B5412F"/>
    <w:rsid w:val="00B61FC7"/>
    <w:rsid w:val="00B62D6F"/>
    <w:rsid w:val="00B64317"/>
    <w:rsid w:val="00B7615F"/>
    <w:rsid w:val="00B7720D"/>
    <w:rsid w:val="00B82981"/>
    <w:rsid w:val="00B82ED7"/>
    <w:rsid w:val="00B86AD7"/>
    <w:rsid w:val="00BA114A"/>
    <w:rsid w:val="00BB6044"/>
    <w:rsid w:val="00BC0D36"/>
    <w:rsid w:val="00BE05A0"/>
    <w:rsid w:val="00BE06C8"/>
    <w:rsid w:val="00C06C8D"/>
    <w:rsid w:val="00C10B82"/>
    <w:rsid w:val="00C113C6"/>
    <w:rsid w:val="00C13936"/>
    <w:rsid w:val="00C53988"/>
    <w:rsid w:val="00C54F2A"/>
    <w:rsid w:val="00C60C4C"/>
    <w:rsid w:val="00C62241"/>
    <w:rsid w:val="00C65B2B"/>
    <w:rsid w:val="00C73760"/>
    <w:rsid w:val="00C86727"/>
    <w:rsid w:val="00C93BA6"/>
    <w:rsid w:val="00C93CBB"/>
    <w:rsid w:val="00C941C5"/>
    <w:rsid w:val="00CA4D44"/>
    <w:rsid w:val="00CC204F"/>
    <w:rsid w:val="00CC4791"/>
    <w:rsid w:val="00CD2BA8"/>
    <w:rsid w:val="00CD2CB0"/>
    <w:rsid w:val="00CD4DE3"/>
    <w:rsid w:val="00CE63EC"/>
    <w:rsid w:val="00CE7691"/>
    <w:rsid w:val="00CF1CF0"/>
    <w:rsid w:val="00CF1E8F"/>
    <w:rsid w:val="00CF586E"/>
    <w:rsid w:val="00CF5FDB"/>
    <w:rsid w:val="00CF77DB"/>
    <w:rsid w:val="00D101B4"/>
    <w:rsid w:val="00D12F78"/>
    <w:rsid w:val="00D17051"/>
    <w:rsid w:val="00D21CBC"/>
    <w:rsid w:val="00D31866"/>
    <w:rsid w:val="00D46346"/>
    <w:rsid w:val="00D46DF6"/>
    <w:rsid w:val="00D53A78"/>
    <w:rsid w:val="00D65F07"/>
    <w:rsid w:val="00D713CA"/>
    <w:rsid w:val="00D72863"/>
    <w:rsid w:val="00D84005"/>
    <w:rsid w:val="00DA0C50"/>
    <w:rsid w:val="00DA16EC"/>
    <w:rsid w:val="00DA37AF"/>
    <w:rsid w:val="00DA384C"/>
    <w:rsid w:val="00DC3CB6"/>
    <w:rsid w:val="00DC71A2"/>
    <w:rsid w:val="00DD2124"/>
    <w:rsid w:val="00DE17E9"/>
    <w:rsid w:val="00DE3096"/>
    <w:rsid w:val="00DE7C65"/>
    <w:rsid w:val="00DF74A4"/>
    <w:rsid w:val="00E11129"/>
    <w:rsid w:val="00E20E41"/>
    <w:rsid w:val="00E21A2A"/>
    <w:rsid w:val="00E30F4C"/>
    <w:rsid w:val="00E3362F"/>
    <w:rsid w:val="00E430DA"/>
    <w:rsid w:val="00E51B21"/>
    <w:rsid w:val="00E5241D"/>
    <w:rsid w:val="00E533D7"/>
    <w:rsid w:val="00E54EB5"/>
    <w:rsid w:val="00E71100"/>
    <w:rsid w:val="00E9047F"/>
    <w:rsid w:val="00EE31FA"/>
    <w:rsid w:val="00EE610E"/>
    <w:rsid w:val="00EF3653"/>
    <w:rsid w:val="00F0080A"/>
    <w:rsid w:val="00F035E3"/>
    <w:rsid w:val="00F03F6D"/>
    <w:rsid w:val="00F04C66"/>
    <w:rsid w:val="00F05F43"/>
    <w:rsid w:val="00F220F5"/>
    <w:rsid w:val="00F22976"/>
    <w:rsid w:val="00F30F4B"/>
    <w:rsid w:val="00F32454"/>
    <w:rsid w:val="00F33136"/>
    <w:rsid w:val="00F3328D"/>
    <w:rsid w:val="00F34B31"/>
    <w:rsid w:val="00F360C3"/>
    <w:rsid w:val="00F368A9"/>
    <w:rsid w:val="00F44818"/>
    <w:rsid w:val="00F44C4F"/>
    <w:rsid w:val="00F45033"/>
    <w:rsid w:val="00F47927"/>
    <w:rsid w:val="00F52311"/>
    <w:rsid w:val="00F5670E"/>
    <w:rsid w:val="00F726C5"/>
    <w:rsid w:val="00F74255"/>
    <w:rsid w:val="00F762D4"/>
    <w:rsid w:val="00F8411C"/>
    <w:rsid w:val="00F85890"/>
    <w:rsid w:val="00F86FD2"/>
    <w:rsid w:val="00F917EE"/>
    <w:rsid w:val="00F96779"/>
    <w:rsid w:val="00FA021D"/>
    <w:rsid w:val="00FB0EC0"/>
    <w:rsid w:val="00FB160C"/>
    <w:rsid w:val="00FB4F09"/>
    <w:rsid w:val="00FC685D"/>
    <w:rsid w:val="00FC7F0D"/>
    <w:rsid w:val="00FD0B1E"/>
    <w:rsid w:val="00FF2F8B"/>
    <w:rsid w:val="00FF72F7"/>
    <w:rsid w:val="01675A7E"/>
    <w:rsid w:val="02151639"/>
    <w:rsid w:val="03B3498B"/>
    <w:rsid w:val="041C0F29"/>
    <w:rsid w:val="048B02D3"/>
    <w:rsid w:val="05045994"/>
    <w:rsid w:val="05654966"/>
    <w:rsid w:val="05A469F2"/>
    <w:rsid w:val="05D42F23"/>
    <w:rsid w:val="069E1EDD"/>
    <w:rsid w:val="06AB60C8"/>
    <w:rsid w:val="07504EC1"/>
    <w:rsid w:val="076446E4"/>
    <w:rsid w:val="08302EC2"/>
    <w:rsid w:val="089715AD"/>
    <w:rsid w:val="097A7FD3"/>
    <w:rsid w:val="09F2225F"/>
    <w:rsid w:val="0A0400FB"/>
    <w:rsid w:val="0A140B28"/>
    <w:rsid w:val="0A157752"/>
    <w:rsid w:val="0A9451C3"/>
    <w:rsid w:val="0B2F6ED7"/>
    <w:rsid w:val="0B5024D1"/>
    <w:rsid w:val="0C2F32F7"/>
    <w:rsid w:val="0C9E36DC"/>
    <w:rsid w:val="0CCA3F36"/>
    <w:rsid w:val="0DE31CBF"/>
    <w:rsid w:val="0EAC50D3"/>
    <w:rsid w:val="0EEC6A9A"/>
    <w:rsid w:val="0EF70D58"/>
    <w:rsid w:val="0F494853"/>
    <w:rsid w:val="0F5FBD1E"/>
    <w:rsid w:val="1133526A"/>
    <w:rsid w:val="1279351E"/>
    <w:rsid w:val="12A04BA0"/>
    <w:rsid w:val="13347D50"/>
    <w:rsid w:val="14120DB9"/>
    <w:rsid w:val="142E467D"/>
    <w:rsid w:val="149E54BE"/>
    <w:rsid w:val="15C70A44"/>
    <w:rsid w:val="16E43D55"/>
    <w:rsid w:val="185F05B2"/>
    <w:rsid w:val="19B7492C"/>
    <w:rsid w:val="19BC5F4E"/>
    <w:rsid w:val="19DC2B10"/>
    <w:rsid w:val="19F22633"/>
    <w:rsid w:val="1A7B1DFD"/>
    <w:rsid w:val="1AAD645B"/>
    <w:rsid w:val="1AD00384"/>
    <w:rsid w:val="1B0878EF"/>
    <w:rsid w:val="1BD9327F"/>
    <w:rsid w:val="1BED065B"/>
    <w:rsid w:val="1C001782"/>
    <w:rsid w:val="1C7622A1"/>
    <w:rsid w:val="1CF82979"/>
    <w:rsid w:val="1D0F122B"/>
    <w:rsid w:val="1D2F75FB"/>
    <w:rsid w:val="1D774527"/>
    <w:rsid w:val="1DC55869"/>
    <w:rsid w:val="1E8E0C12"/>
    <w:rsid w:val="1FBFB161"/>
    <w:rsid w:val="1FE98C8B"/>
    <w:rsid w:val="1FEF142B"/>
    <w:rsid w:val="207417C9"/>
    <w:rsid w:val="20784E15"/>
    <w:rsid w:val="217B1982"/>
    <w:rsid w:val="227F4693"/>
    <w:rsid w:val="22834A6F"/>
    <w:rsid w:val="22891C26"/>
    <w:rsid w:val="23B73DD3"/>
    <w:rsid w:val="250334EF"/>
    <w:rsid w:val="251C08C0"/>
    <w:rsid w:val="262B2929"/>
    <w:rsid w:val="266C4862"/>
    <w:rsid w:val="269D0CD0"/>
    <w:rsid w:val="26AC3A6A"/>
    <w:rsid w:val="26C07516"/>
    <w:rsid w:val="27FE3BE4"/>
    <w:rsid w:val="282B01A4"/>
    <w:rsid w:val="293A34F7"/>
    <w:rsid w:val="294E705B"/>
    <w:rsid w:val="296A4F66"/>
    <w:rsid w:val="298875FF"/>
    <w:rsid w:val="29982084"/>
    <w:rsid w:val="29987E11"/>
    <w:rsid w:val="29A96926"/>
    <w:rsid w:val="29F61902"/>
    <w:rsid w:val="2A446302"/>
    <w:rsid w:val="2AC55BBB"/>
    <w:rsid w:val="2B1B7C8E"/>
    <w:rsid w:val="2C8B7AE9"/>
    <w:rsid w:val="2D0C60FF"/>
    <w:rsid w:val="2D4F5A62"/>
    <w:rsid w:val="2D50111D"/>
    <w:rsid w:val="2D7F2BA5"/>
    <w:rsid w:val="2DD35D80"/>
    <w:rsid w:val="2DDD517E"/>
    <w:rsid w:val="2DFDA031"/>
    <w:rsid w:val="2E083D88"/>
    <w:rsid w:val="2EE713B8"/>
    <w:rsid w:val="2F094312"/>
    <w:rsid w:val="2F7D3F98"/>
    <w:rsid w:val="2F816C3C"/>
    <w:rsid w:val="2FD14541"/>
    <w:rsid w:val="2FE37DD1"/>
    <w:rsid w:val="2FFF7D15"/>
    <w:rsid w:val="30843B2D"/>
    <w:rsid w:val="30E14C44"/>
    <w:rsid w:val="30EE455D"/>
    <w:rsid w:val="31172428"/>
    <w:rsid w:val="3135465C"/>
    <w:rsid w:val="31D3D3E0"/>
    <w:rsid w:val="31EC5663"/>
    <w:rsid w:val="31F71886"/>
    <w:rsid w:val="33554575"/>
    <w:rsid w:val="335E433E"/>
    <w:rsid w:val="33B64AF3"/>
    <w:rsid w:val="34637732"/>
    <w:rsid w:val="34A01418"/>
    <w:rsid w:val="35066030"/>
    <w:rsid w:val="36235234"/>
    <w:rsid w:val="36820344"/>
    <w:rsid w:val="36A82643"/>
    <w:rsid w:val="36BF5908"/>
    <w:rsid w:val="36CE2CE8"/>
    <w:rsid w:val="36F9B69D"/>
    <w:rsid w:val="36FE0347"/>
    <w:rsid w:val="37305945"/>
    <w:rsid w:val="375A5EE7"/>
    <w:rsid w:val="377BBD39"/>
    <w:rsid w:val="37D81B31"/>
    <w:rsid w:val="380E67EB"/>
    <w:rsid w:val="3AE87F1E"/>
    <w:rsid w:val="3B62371B"/>
    <w:rsid w:val="3B7D4B63"/>
    <w:rsid w:val="3C9A013B"/>
    <w:rsid w:val="3CDE42E1"/>
    <w:rsid w:val="3CE60213"/>
    <w:rsid w:val="3DBED111"/>
    <w:rsid w:val="3DDF4214"/>
    <w:rsid w:val="3E304B29"/>
    <w:rsid w:val="3E58C5B9"/>
    <w:rsid w:val="3EFF4B0F"/>
    <w:rsid w:val="3EFFA661"/>
    <w:rsid w:val="3F153425"/>
    <w:rsid w:val="3F2F3864"/>
    <w:rsid w:val="3F3AD9A3"/>
    <w:rsid w:val="3F7B9106"/>
    <w:rsid w:val="3FDFCEF1"/>
    <w:rsid w:val="3FEFD181"/>
    <w:rsid w:val="3FF37ED6"/>
    <w:rsid w:val="3FF794C5"/>
    <w:rsid w:val="3FF821B4"/>
    <w:rsid w:val="3FF9145A"/>
    <w:rsid w:val="3FF978DA"/>
    <w:rsid w:val="3FFBB905"/>
    <w:rsid w:val="3FFD483F"/>
    <w:rsid w:val="40403CCD"/>
    <w:rsid w:val="40561837"/>
    <w:rsid w:val="414A1A99"/>
    <w:rsid w:val="41937DE9"/>
    <w:rsid w:val="42944AD2"/>
    <w:rsid w:val="429B4264"/>
    <w:rsid w:val="42C477E8"/>
    <w:rsid w:val="437DCC6A"/>
    <w:rsid w:val="446306A8"/>
    <w:rsid w:val="45290B5F"/>
    <w:rsid w:val="455B16F5"/>
    <w:rsid w:val="459E4A6E"/>
    <w:rsid w:val="45E238E0"/>
    <w:rsid w:val="46042766"/>
    <w:rsid w:val="467F157F"/>
    <w:rsid w:val="46D71E9D"/>
    <w:rsid w:val="470014EE"/>
    <w:rsid w:val="4746651F"/>
    <w:rsid w:val="47FF94F8"/>
    <w:rsid w:val="49170DBF"/>
    <w:rsid w:val="491A265E"/>
    <w:rsid w:val="4977173B"/>
    <w:rsid w:val="497A4499"/>
    <w:rsid w:val="49812185"/>
    <w:rsid w:val="49EB9C3C"/>
    <w:rsid w:val="4A2072B9"/>
    <w:rsid w:val="4A851D59"/>
    <w:rsid w:val="4BAA54C7"/>
    <w:rsid w:val="4D1B2621"/>
    <w:rsid w:val="4D1B6C51"/>
    <w:rsid w:val="4D482C03"/>
    <w:rsid w:val="4D9C7AE5"/>
    <w:rsid w:val="4DC80216"/>
    <w:rsid w:val="4F7BAEAD"/>
    <w:rsid w:val="4F874761"/>
    <w:rsid w:val="4F880C43"/>
    <w:rsid w:val="4FBEE9D7"/>
    <w:rsid w:val="4FD3686D"/>
    <w:rsid w:val="4FF8502B"/>
    <w:rsid w:val="4FFF7832"/>
    <w:rsid w:val="501936A9"/>
    <w:rsid w:val="508D3B1F"/>
    <w:rsid w:val="510C21EF"/>
    <w:rsid w:val="51514CFC"/>
    <w:rsid w:val="520F1360"/>
    <w:rsid w:val="54327987"/>
    <w:rsid w:val="54E01C3C"/>
    <w:rsid w:val="55287EB0"/>
    <w:rsid w:val="566D4F47"/>
    <w:rsid w:val="571654B2"/>
    <w:rsid w:val="576DD377"/>
    <w:rsid w:val="57F4758F"/>
    <w:rsid w:val="57FAB859"/>
    <w:rsid w:val="57FB42C7"/>
    <w:rsid w:val="587F4C22"/>
    <w:rsid w:val="590A3618"/>
    <w:rsid w:val="59127C6D"/>
    <w:rsid w:val="591E0896"/>
    <w:rsid w:val="59391750"/>
    <w:rsid w:val="59C1695F"/>
    <w:rsid w:val="59DF6603"/>
    <w:rsid w:val="59EA1BD8"/>
    <w:rsid w:val="5A2F4F2A"/>
    <w:rsid w:val="5AAD2898"/>
    <w:rsid w:val="5B262DEE"/>
    <w:rsid w:val="5B719D49"/>
    <w:rsid w:val="5B73B86E"/>
    <w:rsid w:val="5BB74A65"/>
    <w:rsid w:val="5C1247CA"/>
    <w:rsid w:val="5CD31049"/>
    <w:rsid w:val="5D4810BE"/>
    <w:rsid w:val="5D640966"/>
    <w:rsid w:val="5DA0717E"/>
    <w:rsid w:val="5E2F5603"/>
    <w:rsid w:val="5EA87993"/>
    <w:rsid w:val="5ECFB4BA"/>
    <w:rsid w:val="5F3627EF"/>
    <w:rsid w:val="5FDE35C5"/>
    <w:rsid w:val="5FEBBCD5"/>
    <w:rsid w:val="5FEEA272"/>
    <w:rsid w:val="5FEF21D4"/>
    <w:rsid w:val="5FFE41DE"/>
    <w:rsid w:val="5FFF995B"/>
    <w:rsid w:val="60597AB8"/>
    <w:rsid w:val="60725E82"/>
    <w:rsid w:val="6073770F"/>
    <w:rsid w:val="61165BEF"/>
    <w:rsid w:val="616F54DC"/>
    <w:rsid w:val="61D31064"/>
    <w:rsid w:val="61E810F3"/>
    <w:rsid w:val="62267601"/>
    <w:rsid w:val="62426A55"/>
    <w:rsid w:val="627E0C18"/>
    <w:rsid w:val="6395CC90"/>
    <w:rsid w:val="63B123DE"/>
    <w:rsid w:val="63D41C2B"/>
    <w:rsid w:val="63DF14D7"/>
    <w:rsid w:val="63DFCB8A"/>
    <w:rsid w:val="64130209"/>
    <w:rsid w:val="6512389A"/>
    <w:rsid w:val="65FF46AA"/>
    <w:rsid w:val="661C2AB8"/>
    <w:rsid w:val="669940AE"/>
    <w:rsid w:val="66EE7402"/>
    <w:rsid w:val="671802BC"/>
    <w:rsid w:val="671A1408"/>
    <w:rsid w:val="672901E4"/>
    <w:rsid w:val="67657FAD"/>
    <w:rsid w:val="67B8CC74"/>
    <w:rsid w:val="67F7F1DB"/>
    <w:rsid w:val="68923AB6"/>
    <w:rsid w:val="68E82F70"/>
    <w:rsid w:val="68FD40D1"/>
    <w:rsid w:val="696029D7"/>
    <w:rsid w:val="699B4810"/>
    <w:rsid w:val="69DE69D2"/>
    <w:rsid w:val="6A6FF737"/>
    <w:rsid w:val="6BBC6A9E"/>
    <w:rsid w:val="6BEE5558"/>
    <w:rsid w:val="6BF54B38"/>
    <w:rsid w:val="6BFEDC67"/>
    <w:rsid w:val="6BFF978E"/>
    <w:rsid w:val="6C040E64"/>
    <w:rsid w:val="6C043EB4"/>
    <w:rsid w:val="6C1844CA"/>
    <w:rsid w:val="6CB0280D"/>
    <w:rsid w:val="6D2857BB"/>
    <w:rsid w:val="6D6F1302"/>
    <w:rsid w:val="6DFA671E"/>
    <w:rsid w:val="6E030B34"/>
    <w:rsid w:val="6E3F5DFE"/>
    <w:rsid w:val="6E483B91"/>
    <w:rsid w:val="6E4A5D28"/>
    <w:rsid w:val="6E557B10"/>
    <w:rsid w:val="6E7B7B42"/>
    <w:rsid w:val="6EB2A163"/>
    <w:rsid w:val="6EF54E2B"/>
    <w:rsid w:val="6F4FB4FD"/>
    <w:rsid w:val="6F6EA48C"/>
    <w:rsid w:val="6F712EF0"/>
    <w:rsid w:val="6F7FE86C"/>
    <w:rsid w:val="6F885CC3"/>
    <w:rsid w:val="6FAFF139"/>
    <w:rsid w:val="6FB78E44"/>
    <w:rsid w:val="6FF61CF4"/>
    <w:rsid w:val="701C1691"/>
    <w:rsid w:val="70573153"/>
    <w:rsid w:val="7249173A"/>
    <w:rsid w:val="72E2092D"/>
    <w:rsid w:val="73B797D5"/>
    <w:rsid w:val="73DA0BD5"/>
    <w:rsid w:val="73EFB51F"/>
    <w:rsid w:val="73FFF655"/>
    <w:rsid w:val="74AA2238"/>
    <w:rsid w:val="74C9CC28"/>
    <w:rsid w:val="74D83A9D"/>
    <w:rsid w:val="74F777EA"/>
    <w:rsid w:val="751A3799"/>
    <w:rsid w:val="757F7412"/>
    <w:rsid w:val="75ED0F6B"/>
    <w:rsid w:val="7655705F"/>
    <w:rsid w:val="767FE394"/>
    <w:rsid w:val="77676FE1"/>
    <w:rsid w:val="779716E2"/>
    <w:rsid w:val="77E64CB7"/>
    <w:rsid w:val="77F1DA72"/>
    <w:rsid w:val="77FB3F1C"/>
    <w:rsid w:val="787F69F4"/>
    <w:rsid w:val="78D959C5"/>
    <w:rsid w:val="799D6ABB"/>
    <w:rsid w:val="799FCB78"/>
    <w:rsid w:val="7ADB5021"/>
    <w:rsid w:val="7B106360"/>
    <w:rsid w:val="7B7FEF7A"/>
    <w:rsid w:val="7BAC70B6"/>
    <w:rsid w:val="7BBBE258"/>
    <w:rsid w:val="7BBE8960"/>
    <w:rsid w:val="7BBF6C69"/>
    <w:rsid w:val="7BC7BB00"/>
    <w:rsid w:val="7BD9C323"/>
    <w:rsid w:val="7BEA3753"/>
    <w:rsid w:val="7BEC49CF"/>
    <w:rsid w:val="7BEE0CB2"/>
    <w:rsid w:val="7BEFE934"/>
    <w:rsid w:val="7BF549F3"/>
    <w:rsid w:val="7CD518E1"/>
    <w:rsid w:val="7CDFEB68"/>
    <w:rsid w:val="7CEEF168"/>
    <w:rsid w:val="7CF36CD8"/>
    <w:rsid w:val="7CF46746"/>
    <w:rsid w:val="7CF8B141"/>
    <w:rsid w:val="7D0D48D3"/>
    <w:rsid w:val="7D441406"/>
    <w:rsid w:val="7D6E5641"/>
    <w:rsid w:val="7DB11FDD"/>
    <w:rsid w:val="7DD51419"/>
    <w:rsid w:val="7DD95DD4"/>
    <w:rsid w:val="7DE0FE9D"/>
    <w:rsid w:val="7E6FA75F"/>
    <w:rsid w:val="7E750B37"/>
    <w:rsid w:val="7EE9DD16"/>
    <w:rsid w:val="7EF7218E"/>
    <w:rsid w:val="7EFEEDE0"/>
    <w:rsid w:val="7F6D5ACC"/>
    <w:rsid w:val="7F77B007"/>
    <w:rsid w:val="7F7D67F1"/>
    <w:rsid w:val="7F8E9BB6"/>
    <w:rsid w:val="7F9B954A"/>
    <w:rsid w:val="7FAAA3D9"/>
    <w:rsid w:val="7FAF1461"/>
    <w:rsid w:val="7FB7562E"/>
    <w:rsid w:val="7FBD0246"/>
    <w:rsid w:val="7FBF7D2C"/>
    <w:rsid w:val="7FBFFC3E"/>
    <w:rsid w:val="7FBFFFF1"/>
    <w:rsid w:val="7FC4B75C"/>
    <w:rsid w:val="7FC51610"/>
    <w:rsid w:val="7FD19837"/>
    <w:rsid w:val="7FDDA293"/>
    <w:rsid w:val="7FE27284"/>
    <w:rsid w:val="7FF6BE96"/>
    <w:rsid w:val="7FFE4865"/>
    <w:rsid w:val="7FFEC548"/>
    <w:rsid w:val="91FF370E"/>
    <w:rsid w:val="93BE48CD"/>
    <w:rsid w:val="96F41A58"/>
    <w:rsid w:val="96F7164A"/>
    <w:rsid w:val="9A751C2C"/>
    <w:rsid w:val="9FAF6476"/>
    <w:rsid w:val="A33FF308"/>
    <w:rsid w:val="A57F777C"/>
    <w:rsid w:val="ABFEFBD6"/>
    <w:rsid w:val="AD87244A"/>
    <w:rsid w:val="ADF78B94"/>
    <w:rsid w:val="AF9F147F"/>
    <w:rsid w:val="B767E67F"/>
    <w:rsid w:val="B7DBA7E9"/>
    <w:rsid w:val="B97F40F9"/>
    <w:rsid w:val="BA7C1B00"/>
    <w:rsid w:val="BB67CABB"/>
    <w:rsid w:val="BBBF6306"/>
    <w:rsid w:val="BBF4240C"/>
    <w:rsid w:val="BBFDC982"/>
    <w:rsid w:val="BD7B6DDC"/>
    <w:rsid w:val="BDA723AA"/>
    <w:rsid w:val="BDADEA8C"/>
    <w:rsid w:val="BDFE05B1"/>
    <w:rsid w:val="BEBF8A54"/>
    <w:rsid w:val="BEEE4A21"/>
    <w:rsid w:val="BF7A3C29"/>
    <w:rsid w:val="BF7D599A"/>
    <w:rsid w:val="CBEFADA2"/>
    <w:rsid w:val="CED0DA67"/>
    <w:rsid w:val="CFDD60EB"/>
    <w:rsid w:val="CFFF1F67"/>
    <w:rsid w:val="D6F4DE3E"/>
    <w:rsid w:val="D77F0C13"/>
    <w:rsid w:val="D9339536"/>
    <w:rsid w:val="DBA3E1C7"/>
    <w:rsid w:val="DCFD182B"/>
    <w:rsid w:val="DEBFF1DF"/>
    <w:rsid w:val="DEF464E3"/>
    <w:rsid w:val="DEFFF0CB"/>
    <w:rsid w:val="DF7C1BC6"/>
    <w:rsid w:val="DFAFCDB0"/>
    <w:rsid w:val="DFC513A9"/>
    <w:rsid w:val="DFD7CC15"/>
    <w:rsid w:val="E6F0AA54"/>
    <w:rsid w:val="E7FFA95C"/>
    <w:rsid w:val="E9FF7A14"/>
    <w:rsid w:val="EBDE93CA"/>
    <w:rsid w:val="ECEF8CF7"/>
    <w:rsid w:val="ECF3834F"/>
    <w:rsid w:val="ED37E704"/>
    <w:rsid w:val="EFBFFCA8"/>
    <w:rsid w:val="EFFB5EAD"/>
    <w:rsid w:val="EFFE3EBD"/>
    <w:rsid w:val="EFFFF6A1"/>
    <w:rsid w:val="F0BD11FC"/>
    <w:rsid w:val="F13B0A01"/>
    <w:rsid w:val="F2DF8862"/>
    <w:rsid w:val="F33D20D4"/>
    <w:rsid w:val="F3FFC4CF"/>
    <w:rsid w:val="F5B65DAE"/>
    <w:rsid w:val="F5D73C12"/>
    <w:rsid w:val="F6CBEF60"/>
    <w:rsid w:val="F6FFA04F"/>
    <w:rsid w:val="F73E2317"/>
    <w:rsid w:val="F76EBFDD"/>
    <w:rsid w:val="F771B03A"/>
    <w:rsid w:val="F7FFD314"/>
    <w:rsid w:val="F7FFE6D0"/>
    <w:rsid w:val="F7FFF40A"/>
    <w:rsid w:val="F867229E"/>
    <w:rsid w:val="F95F216B"/>
    <w:rsid w:val="F9FFDF11"/>
    <w:rsid w:val="FA35C501"/>
    <w:rsid w:val="FA7693AE"/>
    <w:rsid w:val="FADDA3FA"/>
    <w:rsid w:val="FAEFD96C"/>
    <w:rsid w:val="FAFD18AC"/>
    <w:rsid w:val="FB7F7DA9"/>
    <w:rsid w:val="FBAEE39B"/>
    <w:rsid w:val="FBD74CE2"/>
    <w:rsid w:val="FBE703C1"/>
    <w:rsid w:val="FBEEC750"/>
    <w:rsid w:val="FBF1C637"/>
    <w:rsid w:val="FBF5A392"/>
    <w:rsid w:val="FBF71F6C"/>
    <w:rsid w:val="FBFB3366"/>
    <w:rsid w:val="FBFF6CA7"/>
    <w:rsid w:val="FC47F2E1"/>
    <w:rsid w:val="FCDB1875"/>
    <w:rsid w:val="FCE5D366"/>
    <w:rsid w:val="FCFF49D7"/>
    <w:rsid w:val="FDDFE33D"/>
    <w:rsid w:val="FDFB3EB8"/>
    <w:rsid w:val="FDFCB87B"/>
    <w:rsid w:val="FDFEA5F3"/>
    <w:rsid w:val="FEAFDE3E"/>
    <w:rsid w:val="FEBD4AB5"/>
    <w:rsid w:val="FEBDA2F2"/>
    <w:rsid w:val="FEDB17FB"/>
    <w:rsid w:val="FEDDB161"/>
    <w:rsid w:val="FEED727E"/>
    <w:rsid w:val="FEEFF4B2"/>
    <w:rsid w:val="FF3A44C1"/>
    <w:rsid w:val="FF5DB97E"/>
    <w:rsid w:val="FF5E68F8"/>
    <w:rsid w:val="FF77DB1A"/>
    <w:rsid w:val="FF7BE5BA"/>
    <w:rsid w:val="FF7E5D54"/>
    <w:rsid w:val="FFD23339"/>
    <w:rsid w:val="FFD31F6D"/>
    <w:rsid w:val="FFD75EEA"/>
    <w:rsid w:val="FFD81B9D"/>
    <w:rsid w:val="FFD88720"/>
    <w:rsid w:val="FFEF430B"/>
    <w:rsid w:val="FFF2B5E1"/>
    <w:rsid w:val="FFF794C4"/>
    <w:rsid w:val="FFFF6682"/>
    <w:rsid w:val="FFFFCF84"/>
    <w:rsid w:val="FFFFD7D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30"/>
    <w:qFormat/>
    <w:uiPriority w:val="0"/>
    <w:pPr>
      <w:keepNext/>
      <w:keepLines/>
      <w:spacing w:before="0" w:beforeLines="0" w:beforeAutospacing="0" w:after="0" w:afterLines="0" w:afterAutospacing="0" w:line="360" w:lineRule="auto"/>
      <w:outlineLvl w:val="0"/>
    </w:pPr>
    <w:rPr>
      <w:rFonts w:eastAsia="黑体"/>
      <w:kern w:val="44"/>
      <w:sz w:val="30"/>
    </w:rPr>
  </w:style>
  <w:style w:type="paragraph" w:styleId="3">
    <w:name w:val="heading 2"/>
    <w:basedOn w:val="4"/>
    <w:next w:val="5"/>
    <w:link w:val="31"/>
    <w:qFormat/>
    <w:uiPriority w:val="0"/>
    <w:pPr>
      <w:keepNext/>
      <w:keepLines/>
      <w:spacing w:before="0" w:beforeLines="0" w:beforeAutospacing="0" w:after="0" w:afterLines="0" w:afterAutospacing="0" w:line="360" w:lineRule="auto"/>
      <w:outlineLvl w:val="1"/>
    </w:pPr>
    <w:rPr>
      <w:rFonts w:ascii="Times New Roman" w:hAnsi="Times New Roman" w:eastAsia="黑体"/>
      <w:sz w:val="28"/>
    </w:rPr>
  </w:style>
  <w:style w:type="paragraph" w:styleId="6">
    <w:name w:val="heading 3"/>
    <w:basedOn w:val="1"/>
    <w:next w:val="1"/>
    <w:link w:val="32"/>
    <w:qFormat/>
    <w:uiPriority w:val="0"/>
    <w:pPr>
      <w:keepNext/>
      <w:keepLines/>
      <w:spacing w:before="0" w:beforeLines="0" w:beforeAutospacing="0" w:after="0" w:afterLines="0" w:afterAutospacing="0" w:line="360" w:lineRule="auto"/>
      <w:outlineLvl w:val="2"/>
    </w:pPr>
    <w:rPr>
      <w:rFonts w:eastAsia="黑体"/>
      <w:kern w:val="0"/>
    </w:rPr>
  </w:style>
  <w:style w:type="character" w:default="1" w:styleId="23">
    <w:name w:val="Default Paragraph Font"/>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customStyle="1" w:styleId="4">
    <w:name w:val="标题2"/>
    <w:basedOn w:val="1"/>
    <w:qFormat/>
    <w:uiPriority w:val="0"/>
    <w:pPr>
      <w:spacing w:line="360" w:lineRule="auto"/>
      <w:outlineLvl w:val="0"/>
    </w:pPr>
    <w:rPr>
      <w:b/>
      <w:sz w:val="28"/>
      <w:szCs w:val="28"/>
    </w:rPr>
  </w:style>
  <w:style w:type="paragraph" w:styleId="5">
    <w:name w:val="Normal Indent"/>
    <w:basedOn w:val="1"/>
    <w:qFormat/>
    <w:uiPriority w:val="0"/>
    <w:pPr>
      <w:ind w:firstLine="510"/>
    </w:pPr>
  </w:style>
  <w:style w:type="paragraph" w:styleId="7">
    <w:name w:val="caption"/>
    <w:basedOn w:val="1"/>
    <w:next w:val="1"/>
    <w:qFormat/>
    <w:uiPriority w:val="0"/>
    <w:rPr>
      <w:rFonts w:ascii="黑体"/>
      <w:b/>
      <w:bCs/>
      <w:sz w:val="44"/>
    </w:rPr>
  </w:style>
  <w:style w:type="paragraph" w:styleId="8">
    <w:name w:val="Document Map"/>
    <w:basedOn w:val="1"/>
    <w:link w:val="33"/>
    <w:qFormat/>
    <w:uiPriority w:val="0"/>
    <w:rPr>
      <w:rFonts w:ascii="宋体"/>
      <w:sz w:val="18"/>
      <w:szCs w:val="18"/>
    </w:rPr>
  </w:style>
  <w:style w:type="paragraph" w:styleId="9">
    <w:name w:val="annotation text"/>
    <w:basedOn w:val="1"/>
    <w:semiHidden/>
    <w:qFormat/>
    <w:uiPriority w:val="0"/>
    <w:pPr>
      <w:jc w:val="left"/>
    </w:pPr>
  </w:style>
  <w:style w:type="paragraph" w:styleId="10">
    <w:name w:val="Body Text"/>
    <w:basedOn w:val="1"/>
    <w:next w:val="1"/>
    <w:qFormat/>
    <w:uiPriority w:val="0"/>
    <w:rPr>
      <w:b/>
      <w:bCs/>
    </w:rPr>
  </w:style>
  <w:style w:type="paragraph" w:styleId="11">
    <w:name w:val="toc 3"/>
    <w:basedOn w:val="1"/>
    <w:next w:val="1"/>
    <w:qFormat/>
    <w:uiPriority w:val="39"/>
    <w:pPr>
      <w:spacing w:line="360" w:lineRule="auto"/>
    </w:pPr>
    <w:rPr>
      <w:sz w:val="24"/>
    </w:rPr>
  </w:style>
  <w:style w:type="paragraph" w:styleId="12">
    <w:name w:val="Body Text Indent 2"/>
    <w:basedOn w:val="1"/>
    <w:qFormat/>
    <w:uiPriority w:val="0"/>
    <w:pPr>
      <w:spacing w:after="120" w:line="480" w:lineRule="auto"/>
      <w:ind w:left="420" w:leftChars="200"/>
    </w:pPr>
  </w:style>
  <w:style w:type="paragraph" w:styleId="13">
    <w:name w:val="Balloon Text"/>
    <w:basedOn w:val="1"/>
    <w:qFormat/>
    <w:uiPriority w:val="0"/>
    <w:rPr>
      <w:sz w:val="18"/>
      <w:szCs w:val="18"/>
    </w:rPr>
  </w:style>
  <w:style w:type="paragraph" w:styleId="14">
    <w:name w:val="footer"/>
    <w:basedOn w:val="1"/>
    <w:link w:val="34"/>
    <w:qFormat/>
    <w:uiPriority w:val="99"/>
    <w:pPr>
      <w:tabs>
        <w:tab w:val="center" w:pos="4153"/>
        <w:tab w:val="right" w:pos="8306"/>
      </w:tabs>
      <w:snapToGrid w:val="0"/>
      <w:jc w:val="left"/>
    </w:pPr>
    <w:rPr>
      <w:sz w:val="18"/>
    </w:rPr>
  </w:style>
  <w:style w:type="paragraph" w:styleId="15">
    <w:name w:val="header"/>
    <w:basedOn w:val="1"/>
    <w:qFormat/>
    <w:uiPriority w:val="0"/>
    <w:pPr>
      <w:tabs>
        <w:tab w:val="center" w:pos="4153"/>
        <w:tab w:val="right" w:pos="8306"/>
      </w:tabs>
      <w:snapToGrid w:val="0"/>
    </w:pPr>
    <w:rPr>
      <w:sz w:val="18"/>
    </w:rPr>
  </w:style>
  <w:style w:type="paragraph" w:styleId="16">
    <w:name w:val="toc 1"/>
    <w:basedOn w:val="1"/>
    <w:next w:val="1"/>
    <w:qFormat/>
    <w:uiPriority w:val="39"/>
    <w:rPr>
      <w:sz w:val="24"/>
    </w:rPr>
  </w:style>
  <w:style w:type="paragraph" w:styleId="17">
    <w:name w:val="toc 2"/>
    <w:basedOn w:val="1"/>
    <w:next w:val="1"/>
    <w:qFormat/>
    <w:uiPriority w:val="39"/>
    <w:pPr>
      <w:tabs>
        <w:tab w:val="right" w:leader="dot" w:pos="9344"/>
      </w:tabs>
      <w:spacing w:line="360" w:lineRule="auto"/>
      <w:ind w:firstLine="240" w:firstLineChars="100"/>
    </w:pPr>
    <w:rPr>
      <w:sz w:val="24"/>
    </w:r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0">
    <w:name w:val="annotation subject"/>
    <w:basedOn w:val="9"/>
    <w:next w:val="9"/>
    <w:semiHidden/>
    <w:qFormat/>
    <w:uiPriority w:val="0"/>
    <w:rPr>
      <w:b/>
      <w:bCs/>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page number"/>
    <w:basedOn w:val="23"/>
    <w:qFormat/>
    <w:uiPriority w:val="0"/>
  </w:style>
  <w:style w:type="character" w:styleId="26">
    <w:name w:val="Emphasis"/>
    <w:qFormat/>
    <w:uiPriority w:val="0"/>
    <w:rPr>
      <w:i/>
      <w:iCs/>
    </w:rPr>
  </w:style>
  <w:style w:type="character" w:styleId="27">
    <w:name w:val="Hyperlink"/>
    <w:qFormat/>
    <w:uiPriority w:val="99"/>
    <w:rPr>
      <w:color w:val="0000FF"/>
      <w:u w:val="single"/>
    </w:rPr>
  </w:style>
  <w:style w:type="character" w:styleId="28">
    <w:name w:val="HTML Code"/>
    <w:basedOn w:val="23"/>
    <w:qFormat/>
    <w:uiPriority w:val="0"/>
    <w:rPr>
      <w:rFonts w:ascii="Courier New" w:hAnsi="Courier New"/>
      <w:sz w:val="20"/>
    </w:rPr>
  </w:style>
  <w:style w:type="character" w:styleId="29">
    <w:name w:val="annotation reference"/>
    <w:semiHidden/>
    <w:qFormat/>
    <w:uiPriority w:val="0"/>
    <w:rPr>
      <w:sz w:val="21"/>
      <w:szCs w:val="21"/>
    </w:rPr>
  </w:style>
  <w:style w:type="character" w:customStyle="1" w:styleId="30">
    <w:name w:val="标题 1 字符"/>
    <w:link w:val="2"/>
    <w:qFormat/>
    <w:uiPriority w:val="0"/>
    <w:rPr>
      <w:rFonts w:ascii="Times New Roman" w:hAnsi="Times New Roman" w:eastAsia="黑体"/>
      <w:kern w:val="44"/>
      <w:sz w:val="30"/>
    </w:rPr>
  </w:style>
  <w:style w:type="character" w:customStyle="1" w:styleId="31">
    <w:name w:val="标题 2 字符"/>
    <w:link w:val="3"/>
    <w:qFormat/>
    <w:uiPriority w:val="0"/>
    <w:rPr>
      <w:rFonts w:eastAsia="黑体"/>
      <w:kern w:val="2"/>
      <w:sz w:val="28"/>
      <w:lang w:val="en-US" w:eastAsia="zh-CN" w:bidi="ar-SA"/>
    </w:rPr>
  </w:style>
  <w:style w:type="character" w:customStyle="1" w:styleId="32">
    <w:name w:val="标题 3 字符"/>
    <w:link w:val="6"/>
    <w:qFormat/>
    <w:uiPriority w:val="0"/>
    <w:rPr>
      <w:rFonts w:ascii="Times New Roman" w:hAnsi="Times New Roman" w:eastAsia="黑体"/>
      <w:sz w:val="21"/>
    </w:rPr>
  </w:style>
  <w:style w:type="character" w:customStyle="1" w:styleId="33">
    <w:name w:val="文档结构图 字符"/>
    <w:link w:val="8"/>
    <w:qFormat/>
    <w:uiPriority w:val="0"/>
    <w:rPr>
      <w:rFonts w:ascii="宋体"/>
      <w:kern w:val="2"/>
      <w:sz w:val="18"/>
      <w:szCs w:val="18"/>
    </w:rPr>
  </w:style>
  <w:style w:type="character" w:customStyle="1" w:styleId="34">
    <w:name w:val="页脚 字符"/>
    <w:link w:val="14"/>
    <w:qFormat/>
    <w:uiPriority w:val="99"/>
    <w:rPr>
      <w:kern w:val="2"/>
      <w:sz w:val="18"/>
    </w:rPr>
  </w:style>
  <w:style w:type="character" w:customStyle="1" w:styleId="35">
    <w:name w:val="apple-converted-space"/>
    <w:basedOn w:val="23"/>
    <w:qFormat/>
    <w:uiPriority w:val="0"/>
  </w:style>
  <w:style w:type="character" w:customStyle="1" w:styleId="36">
    <w:name w:val="apple-style-span"/>
    <w:basedOn w:val="23"/>
    <w:qFormat/>
    <w:uiPriority w:val="0"/>
  </w:style>
  <w:style w:type="character" w:customStyle="1" w:styleId="37">
    <w:name w:val="正文 Char"/>
    <w:qFormat/>
    <w:uiPriority w:val="0"/>
    <w:rPr>
      <w:kern w:val="2"/>
      <w:sz w:val="21"/>
      <w:lang w:val="en-US" w:eastAsia="zh-CN" w:bidi="ar-SA"/>
    </w:rPr>
  </w:style>
  <w:style w:type="paragraph" w:styleId="38">
    <w:name w:val="List Paragraph"/>
    <w:basedOn w:val="1"/>
    <w:qFormat/>
    <w:uiPriority w:val="34"/>
    <w:pPr>
      <w:ind w:firstLine="420" w:firstLineChars="200"/>
    </w:pPr>
  </w:style>
  <w:style w:type="paragraph" w:customStyle="1" w:styleId="39">
    <w:name w:val="样式1"/>
    <w:basedOn w:val="2"/>
    <w:qFormat/>
    <w:uiPriority w:val="0"/>
    <w:pPr>
      <w:jc w:val="center"/>
    </w:pPr>
  </w:style>
  <w:style w:type="paragraph" w:customStyle="1" w:styleId="40">
    <w:name w:val="_Style 2"/>
    <w:basedOn w:val="2"/>
    <w:next w:val="1"/>
    <w:qFormat/>
    <w:uiPriority w:val="39"/>
    <w:pPr>
      <w:widowControl/>
      <w:spacing w:before="480" w:line="276" w:lineRule="auto"/>
      <w:jc w:val="left"/>
      <w:outlineLvl w:val="9"/>
    </w:pPr>
    <w:rPr>
      <w:rFonts w:ascii="Cambria" w:hAnsi="Cambria" w:eastAsia="宋体" w:cs="Times New Roman"/>
      <w:b/>
      <w:bCs/>
      <w:color w:val="365F91"/>
      <w:kern w:val="0"/>
      <w:sz w:val="28"/>
      <w:szCs w:val="28"/>
      <w:lang w:val="en-US" w:eastAsia="zh-CN"/>
    </w:rPr>
  </w:style>
  <w:style w:type="paragraph" w:customStyle="1" w:styleId="41">
    <w:name w:val="TOC Heading"/>
    <w:basedOn w:val="2"/>
    <w:next w:val="1"/>
    <w:qFormat/>
    <w:uiPriority w:val="39"/>
    <w:pPr>
      <w:widowControl/>
      <w:spacing w:before="480" w:line="276" w:lineRule="auto"/>
      <w:jc w:val="left"/>
      <w:outlineLvl w:val="9"/>
    </w:pPr>
    <w:rPr>
      <w:rFonts w:ascii="Cambria" w:hAnsi="Cambria" w:eastAsia="宋体" w:cs="Times New Roman"/>
      <w:b/>
      <w:bCs/>
      <w:color w:val="365F91"/>
      <w:kern w:val="0"/>
      <w:sz w:val="28"/>
      <w:szCs w:val="28"/>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83</Words>
  <Characters>475</Characters>
  <Lines>12</Lines>
  <Paragraphs>8</Paragraphs>
  <TotalTime>0</TotalTime>
  <ScaleCrop>false</ScaleCrop>
  <LinksUpToDate>false</LinksUpToDate>
  <CharactersWithSpaces>583</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本科毕业论文</cp:category>
  <dcterms:created xsi:type="dcterms:W3CDTF">2026-04-25T13:46:00Z</dcterms:created>
  <dc:creator>张明</dc:creator>
  <dc:description>基于Spring Boot的玻璃供应链WMS系统设计与实现</dc:description>
  <cp:keywords>Spring Boot; 玻璃供应链; WMS; 库存管理; 仓储管理</cp:keywords>
  <cp:lastModifiedBy>天明</cp:lastModifiedBy>
  <dcterms:modified xsi:type="dcterms:W3CDTF">2026-04-26T14:46:31Z</dcterms:modified>
  <dc:subject>学号：202201011162</dc:subject>
  <dc:title>基于Spring Boot的玻璃供应链WMS系统设计与实现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摘要：本文设计并实现了一个基于Spring Boot的玻璃供应链WMS系统。系统采用模块化单体架构，后端基于Spring Boot 2.5框架，前端采用Vue.js，数据层使用MySQL与MyBatis-Plus，并集成Redis缓存和RabbitMQ消息中间件。围绕玻璃供应链场景中“规格多、批次多、仓库分散、出入库频繁”的业务特点，系统实现了基于RBAC模型的权限管理、仓库主数据维护、订单协同、库存主单与库存明细管理、出库管理、库存余额统计与异步导出等核心功能。在数据一致性保障方面，系统采用“同步事件驱动+异步补偿”的混合机制，对库存变动、状态回写和冗余字段更新进行统一处理，从而提升库存数据的准确性、可追溯性和业务协同效率。系统已能够支撑企业在玻璃采购、入库、仓储、出库和统计分析等环节的日常管理，验证了方案的可行性与实用价值。</vt:lpwstr>
  </property>
  <property fmtid="{D5CDD505-2E9C-101B-9397-08002B2CF9AE}" pid="3" name="date">
    <vt:lpwstr>（德州学院 计算机与信息学院，山东德州 253023，学号：202201011162）</vt:lpwstr>
  </property>
  <property fmtid="{D5CDD505-2E9C-101B-9397-08002B2CF9AE}" pid="4" name="KSOProductBuildVer">
    <vt:lpwstr>2052-12.1.25867.25867</vt:lpwstr>
  </property>
  <property fmtid="{D5CDD505-2E9C-101B-9397-08002B2CF9AE}" pid="5" name="ICV">
    <vt:lpwstr>814CAD6042AE4A8D7D92ED6994AAC799_43</vt:lpwstr>
  </property>
</Properties>
</file>