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Styles and theme test</w:t>
      </w:r>
    </w:p>
    <w:p>
      <w:r>
        <w:rPr>
          <w:color w:val="58B8DA" w:themeColor="accent1" w:themeTint="99"/>
        </w:rPr>
        <w:t>Theme accent 1 at tint 99 (lighter 40%). </w:t>
      </w:r>
      <w:r>
        <w:rPr>
          <w:b/>
          <w:color w:val="588431" w:themeColor="accent3" w:themeShade="BF"/>
        </w:rPr>
        <w:t>Accent 3 shade BF.</w:t>
      </w:r>
    </w:p>
    <w:tbl>
      <w:tblPr>
        <w:tblStyle w:val="LSBanded"/>
        <w:tblW w:w="9360" w:type="dxa"/>
        <w:tblLook w:val="04E0" w:firstRow="1" w:lastRow="1" w:firstColumn="1" w:lastColumn="0" w:noHBand="0" w:noVBand="1"/>
      </w:tblPr>
      <w:tblGrid>
        <w:gridCol w:w="3600"/>
        <w:gridCol w:w="2160"/>
        <w:gridCol w:w="3600"/>
      </w:tblGrid>
      <w:tr>
        <w:tc>
          <w:tcPr>
            <w:tcW w:w="3600" w:type="dxa"/>
          </w:tcPr>
          <w:p>
            <w:r>
              <w:t>Item</w:t>
            </w:r>
          </w:p>
        </w:tc>
        <w:tc>
          <w:tcPr>
            <w:tcW w:w="2160" w:type="dxa"/>
          </w:tcPr>
          <w:p>
            <w:r>
              <w:t>Qty</w:t>
            </w:r>
          </w:p>
        </w:tc>
        <w:tc>
          <w:tcPr>
            <w:tcW w:w="3600" w:type="dxa"/>
          </w:tcPr>
          <w:p>
            <w:r>
              <w:t>Price</w:t>
            </w:r>
          </w:p>
        </w:tc>
      </w:tr>
      <w:tr>
        <w:tc>
          <w:tcPr>
            <w:tcW w:w="3600" w:type="dxa"/>
          </w:tcPr>
          <w:p>
            <w:r>
              <w:t>Apples</w:t>
            </w:r>
          </w:p>
        </w:tc>
        <w:tc>
          <w:tcPr>
            <w:tcW w:w="2160" w:type="dxa"/>
          </w:tcPr>
          <w:p>
            <w:r>
              <w:t>4</w:t>
            </w:r>
          </w:p>
        </w:tc>
        <w:tc>
          <w:tcPr>
            <w:tcW w:w="3600" w:type="dxa"/>
          </w:tcPr>
          <w:p>
            <w:r>
              <w:t>1.20</w:t>
            </w:r>
          </w:p>
        </w:tc>
      </w:tr>
      <w:tr>
        <w:tc>
          <w:tcPr>
            <w:tcW w:w="3600" w:type="dxa"/>
          </w:tcPr>
          <w:p>
            <w:r>
              <w:t>Bread</w:t>
            </w:r>
          </w:p>
        </w:tc>
        <w:tc>
          <w:tcPr>
            <w:tcW w:w="2160" w:type="dxa"/>
          </w:tcPr>
          <w:p>
            <w:r>
              <w:t>1</w:t>
            </w:r>
          </w:p>
        </w:tc>
        <w:tc>
          <w:tcPr>
            <w:tcW w:w="3600" w:type="dxa"/>
            <w:shd w:val="clear" w:color="auto" w:fill="FFF2CC"/>
            <w:tcBorders>
              <w:left w:val="single" w:sz="18" w:space="0" w:color="C00000"/>
            </w:tcBorders>
          </w:tcPr>
          <w:p>
            <w:r>
              <w:t>2.50</w:t>
            </w:r>
          </w:p>
        </w:tc>
      </w:tr>
      <w:tr>
        <w:tc>
          <w:tcPr>
            <w:tcW w:w="3600" w:type="dxa"/>
          </w:tcPr>
          <w:p>
            <w:r>
              <w:t>Cheese</w:t>
            </w:r>
          </w:p>
        </w:tc>
        <w:tc>
          <w:tcPr>
            <w:tcW w:w="2160" w:type="dxa"/>
            <w:vAlign w:val="center"/>
          </w:tcPr>
          <w:p>
            <w:r>
              <w:t>2</w:t>
            </w:r>
          </w:p>
        </w:tc>
        <w:tc>
          <w:tcPr>
            <w:tcW w:w="3600" w:type="dxa"/>
          </w:tcPr>
          <w:p>
            <w:r>
              <w:t>7.80</w:t>
            </w:r>
          </w:p>
        </w:tc>
      </w:tr>
      <w:tr>
        <w:tc>
          <w:tcPr>
            <w:tcW w:w="3600" w:type="dxa"/>
          </w:tcPr>
          <w:p>
            <w:r>
              <w:t>Milk</w:t>
            </w:r>
          </w:p>
        </w:tc>
        <w:tc>
          <w:tcPr>
            <w:tcW w:w="2160" w:type="dxa"/>
          </w:tcPr>
          <w:p>
            <w:r>
              <w:t>6</w:t>
            </w:r>
          </w:p>
        </w:tc>
        <w:tc>
          <w:tcPr>
            <w:tcW w:w="3600" w:type="dxa"/>
          </w:tcPr>
          <w:p>
            <w:r>
              <w:t>0.99</w:t>
            </w:r>
          </w:p>
        </w:tc>
      </w:tr>
      <w:tr>
        <w:tc>
          <w:tcPr>
            <w:tcW w:w="360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13</w:t>
            </w:r>
          </w:p>
        </w:tc>
        <w:tc>
          <w:tcPr>
            <w:tcW w:w="3600" w:type="dxa"/>
          </w:tcPr>
          <w:p>
            <w:r>
              <w:t>12.49</w:t>
            </w:r>
          </w:p>
        </w:tc>
      </w:tr>
    </w:tbl>
    <w:p>
      <w:pPr>
        <w:pStyle w:val="Heading1"/>
      </w:pPr>
      <w:r>
        <w:t xml:space="preserve">Contents</w:t>
      </w:r>
    </w:p>
    <w:p>
      <w:pPr>
        <w:pStyle w:val="TOC1"/>
      </w:pPr>
      <w:r>
        <w:t xml:space="preserve">Introduction</w:t>
      </w:r>
      <w:r>
        <w:tab/>
      </w:r>
      <w:r>
        <w:t xml:space="preserve">1</w:t>
      </w:r>
    </w:p>
    <w:p>
      <w:pPr>
        <w:pStyle w:val="TOC1"/>
      </w:pPr>
      <w:r>
        <w:t xml:space="preserve">A much longer chapter title that goes on and on</w:t>
      </w:r>
      <w:r>
        <w:tab/>
      </w:r>
      <w:r>
        <w:t xml:space="preserve">12</w:t>
      </w:r>
    </w:p>
    <w:p>
      <w:pPr>
        <w:pStyle w:val="TOC1"/>
      </w:pPr>
      <w:r>
        <w:t xml:space="preserve">Appendix</w:t>
      </w:r>
      <w:r>
        <w:tab/>
      </w:r>
      <w:r>
        <w:t xml:space="preserve">103</w:t>
      </w:r>
    </w:p>
    <w:p>
      <w:pPr/>
      <w:r>
        <w:t xml:space="preserve">Header-style line:</w:t>
      </w:r>
    </w:p>
    <w:p>
      <w:pPr>
        <w:pStyle w:val="Header"/>
      </w:pPr>
      <w:r>
        <w:t xml:space="preserve">Left</w:t>
      </w:r>
      <w:r>
        <w:tab/>
      </w:r>
      <w:r>
        <w:t xml:space="preserve">Centre</w:t>
      </w:r>
      <w:r>
        <w:tab/>
      </w:r>
      <w:r>
        <w:t xml:space="preserve">Right</w:t>
      </w:r>
    </w:p>
    <w:p>
      <w:pPr/>
      <w:r>
        <w:t xml:space="preserve">Name:</w:t>
      </w:r>
      <w:r>
        <w:tab/>
      </w:r>
      <w:r>
        <w:t xml:space="preserve">Tuna</w:t>
      </w:r>
    </w:p>
    <w:p>
      <w:pPr/>
      <w:r>
        <w:t xml:space="preserve">Role:</w:t>
      </w:r>
      <w:r>
        <w:tab/>
      </w:r>
      <w:r>
        <w:t xml:space="preserve">English teacher</w:t>
      </w:r>
    </w:p>
    <w:p>
      <w:pPr>
        <w:pBdr>
          <w:top w:val="single" w:sz="8" w:space="1" w:color="E4572E"/>
          <w:bottom w:val="single" w:sz="8" w:space="1" w:color="E4572E"/>
        </w:pBdr>
        <w:shd w:val="clear" w:color="auto" w:fill="EDF2F4"/>
      </w:pPr>
      <w:r>
        <w:t xml:space="preserve">Shaded paragraph with a box border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hAnsiTheme="minorHAnsi"/>
        <w:sz w:val="22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pBdr>
        <w:bottom w:val="single" w:sz="12" w:space="1" w:color="E4572E" w:themeColor="accent2"/>
      </w:pBdr>
      <w:spacing w:before="240" w:after="120"/>
      <w:outlineLvl w:val="0"/>
    </w:pPr>
    <w:rPr>
      <w:rFonts w:asciiTheme="majorHAnsi" w:hAnsiTheme="majorHAnsi"/>
      <w:b/>
      <w:color w:val="175368" w:themeColor="accent1" w:themeShade="BF"/>
      <w:sz w:val="32"/>
    </w:rPr>
  </w:style>
  <w:style w:type="paragraph" w:styleId="TOC1">
    <w:name w:val="toc 1"/>
    <w:basedOn w:val="Normal"/>
    <w:pPr>
      <w:tabs>
        <w:tab w:val="right" w:leader="dot" w:pos="9350"/>
      </w:tabs>
      <w:spacing w:after="60"/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LSBanded">
    <w:name w:val="LS Banded"/>
    <w:basedOn w:val="TableNormal"/>
    <w:pPr>
      <w:spacing w:after="0" w:line="240" w:lineRule="auto"/>
    </w:pPr>
    <w:tblPr>
      <w:tblStyleRowBandSize w:val="1"/>
      <w:tblBorders>
        <w:top w:val="single" w:sz="12" w:space="0" w:color="1F6F8B" w:themeColor="accent1"/>
        <w:bottom w:val="single" w:sz="12" w:space="0" w:color="1F6F8B" w:themeColor="accent1"/>
        <w:insideH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 w:themeColor="background1"/>
      </w:rPr>
      <w:tcPr>
        <w:shd w:val="clear" w:color="auto" w:fill="1F6F8B" w:themeFill="accent1"/>
      </w:tcPr>
    </w:tblStylePr>
    <w:tblStylePr w:type="lastRow">
      <w:rPr>
        <w:b/>
      </w:rPr>
      <w:tcPr>
        <w:tcBorders>
          <w:top w:val="double" w:sz="6" w:space="0" w:color="auto"/>
        </w:tcBorders>
      </w:tcPr>
    </w:tblStylePr>
    <w:tblStylePr w:type="firstCol">
      <w:rPr>
        <w:b/>
        <w:color w:val="E4572E" w:themeColor="accent2"/>
      </w:rPr>
    </w:tblStylePr>
    <w:tblStylePr w:type="band1Horz">
      <w:tcPr>
        <w:shd w:val="clear" w:color="auto" w:fill="C7E7F3" w:themeFill="accent1" w:themeFillTint="33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STest">
  <a:themeElements>
    <a:clrScheme name="LS">
      <a:dk1>
        <a:sysClr val="windowText" lastClr="000000"/>
      </a:dk1>
      <a:lt1>
        <a:sysClr val="window" lastClr="FFFFFF"/>
      </a:lt1>
      <a:dk2>
        <a:srgbClr val="2B2D42"/>
      </a:dk2>
      <a:lt2>
        <a:srgbClr val="EDF2F4"/>
      </a:lt2>
      <a:accent1>
        <a:srgbClr val="1F6F8B"/>
      </a:accent1>
      <a:accent2>
        <a:srgbClr val="E4572E"/>
      </a:accent2>
      <a:accent3>
        <a:srgbClr val="76B041"/>
      </a:accent3>
      <a:accent4>
        <a:srgbClr val="FFC914"/>
      </a:accent4>
      <a:accent5>
        <a:srgbClr val="8D5B9E"/>
      </a:accent5>
      <a:accent6>
        <a:srgbClr val="17BEBB"/>
      </a:accent6>
      <a:hlink>
        <a:srgbClr val="0563C1"/>
      </a:hlink>
      <a:folHlink>
        <a:srgbClr val="954F72"/>
      </a:folHlink>
    </a:clrScheme>
    <a:fontScheme name="LS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</a:themeElements>
</a:theme>
</file>