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5"/>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5"/>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4pt;width:23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hint="eastAsia"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position w:val="-12"/>
          <w:sz w:val="24"/>
          <w:lang w:eastAsia="zh-CN"/>
        </w:rPr>
        <w:object>
          <v:shape id="_x0000_i1031" o:spt="75" type="#_x0000_t75" style="height:18pt;width:18pt;" o:ole="t" filled="f" o:preferrelative="t" stroked="f" coordsize="21600,21600">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lang w:val="en-US" w:eastAsia="zh-CN"/>
        </w:rPr>
        <w:t xml:space="preserve">               第i个主成分                        无</w:t>
      </w:r>
      <w:bookmarkStart w:id="2" w:name="_GoBack"/>
      <w:bookmarkEnd w:id="2"/>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w:t>
      </w:r>
    </w:p>
    <w:p>
      <w:pPr>
        <w:ind w:firstLine="420"/>
        <w:rPr>
          <w:rFonts w:asciiTheme="minorEastAsia" w:hAnsiTheme="minorEastAsia" w:cstheme="minorEastAsia"/>
          <w:sz w:val="24"/>
        </w:rPr>
      </w:pPr>
      <w:r>
        <w:rPr>
          <w:rFonts w:hint="eastAsia" w:asciiTheme="minorEastAsia" w:hAnsiTheme="minorEastAsia" w:cstheme="minorEastAsia"/>
          <w:sz w:val="24"/>
        </w:rPr>
        <w:t>据残缺的两种客户的现有个人信息和历史违约记录，并结合已有数据集合进行分析，并给出合理的个人信用评价指标体系，对模型进行检验和评估。</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最后，是我们提出的针对缺失值的统一填补算法（如我们采用的热卡算法）在不同缺失情况下的评价体系，并记录在我们的非技术报告中。</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Topgunlcs98</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5.1.1模型建立</w:t>
      </w: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5.1.3模型求解</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rPr>
          <w:rFonts w:ascii="黑体" w:hAnsi="黑体" w:eastAsia="黑体" w:cs="黑体"/>
          <w:b/>
          <w:bCs/>
          <w:sz w:val="24"/>
        </w:rPr>
      </w:pPr>
      <w:r>
        <w:rPr>
          <w:rFonts w:hint="eastAsia" w:ascii="黑体" w:hAnsi="黑体" w:eastAsia="黑体" w:cs="黑体"/>
          <w:b/>
          <w:bCs/>
          <w:sz w:val="24"/>
        </w:rPr>
        <w:t>5.2.2模型求解算法</w:t>
      </w:r>
    </w:p>
    <w:p>
      <w:pPr>
        <w:rPr>
          <w:rFonts w:hint="eastAsia" w:ascii="黑体" w:hAnsi="黑体" w:eastAsia="黑体" w:cs="黑体"/>
          <w:b/>
          <w:bCs/>
          <w:sz w:val="24"/>
        </w:rPr>
      </w:pPr>
      <w:r>
        <w:rPr>
          <w:rFonts w:hint="eastAsia" w:ascii="黑体" w:hAnsi="黑体" w:eastAsia="黑体" w:cs="黑体"/>
          <w:b/>
          <w:bCs/>
          <w:sz w:val="24"/>
        </w:rPr>
        <w:t>5.2.3模型求解</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71CC9"/>
    <w:rsid w:val="002B0F8C"/>
    <w:rsid w:val="00425D48"/>
    <w:rsid w:val="00576FDA"/>
    <w:rsid w:val="005818EF"/>
    <w:rsid w:val="00A35ACA"/>
    <w:rsid w:val="00A8087D"/>
    <w:rsid w:val="00A867C0"/>
    <w:rsid w:val="00B54AAE"/>
    <w:rsid w:val="00CB07AD"/>
    <w:rsid w:val="00EF259C"/>
    <w:rsid w:val="00F15E86"/>
    <w:rsid w:val="01DA06D8"/>
    <w:rsid w:val="0312690F"/>
    <w:rsid w:val="05D62F26"/>
    <w:rsid w:val="0C5E1F63"/>
    <w:rsid w:val="0CEE4971"/>
    <w:rsid w:val="0F9A65A2"/>
    <w:rsid w:val="114F7581"/>
    <w:rsid w:val="11917DED"/>
    <w:rsid w:val="18977FC8"/>
    <w:rsid w:val="19330BC6"/>
    <w:rsid w:val="1E3B3E83"/>
    <w:rsid w:val="24C07C3A"/>
    <w:rsid w:val="2B5444B4"/>
    <w:rsid w:val="2CBA37C8"/>
    <w:rsid w:val="316050EA"/>
    <w:rsid w:val="37D3129B"/>
    <w:rsid w:val="38090C89"/>
    <w:rsid w:val="3B634C47"/>
    <w:rsid w:val="405F745A"/>
    <w:rsid w:val="440724D9"/>
    <w:rsid w:val="485316A9"/>
    <w:rsid w:val="50B76E41"/>
    <w:rsid w:val="52A50747"/>
    <w:rsid w:val="57506C65"/>
    <w:rsid w:val="5B6B4E21"/>
    <w:rsid w:val="6BCA68D9"/>
    <w:rsid w:val="6EC878EA"/>
    <w:rsid w:val="737E759C"/>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msolistparagraph"/>
    <w:basedOn w:val="1"/>
    <w:qFormat/>
    <w:uiPriority w:val="0"/>
    <w:pPr>
      <w:ind w:firstLine="420" w:firstLineChars="200"/>
    </w:pPr>
    <w:rPr>
      <w:rFonts w:hint="eastAsia" w:ascii="等线" w:hAnsi="等线" w:eastAsia="等线" w:cs="Times New Roman"/>
      <w:szCs w:val="22"/>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466</Words>
  <Characters>2657</Characters>
  <Lines>22</Lines>
  <Paragraphs>6</Paragraphs>
  <TotalTime>1</TotalTime>
  <ScaleCrop>false</ScaleCrop>
  <LinksUpToDate>false</LinksUpToDate>
  <CharactersWithSpaces>3117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TOP GUN</cp:lastModifiedBy>
  <dcterms:modified xsi:type="dcterms:W3CDTF">2018-05-19T02:14:47Z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