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43"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4" o:spt="75"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45" o:spt="75" type="#_x0000_t75" style="height:16pt;width:22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47" o:spt="75"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0" o:spt="75"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51" o:spt="75"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52"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53"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54"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5.1.2.2 支持向量机算法</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根据给定的训练集</w:t>
      </w:r>
    </w:p>
    <w:p>
      <w:pPr>
        <w:ind w:firstLine="42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55" o:spt="75" type="#_x0000_t75" style="height:18pt;width:282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式中，l为客户信息条目数,</w:t>
      </w:r>
      <w:r>
        <w:rPr>
          <w:rFonts w:hint="eastAsia" w:asciiTheme="minorEastAsia" w:hAnsiTheme="minorEastAsia" w:cstheme="minorEastAsia"/>
          <w:b w:val="0"/>
          <w:bCs w:val="0"/>
          <w:position w:val="-12"/>
          <w:sz w:val="24"/>
          <w:szCs w:val="24"/>
          <w:lang w:val="en-US" w:eastAsia="zh-CN"/>
        </w:rPr>
        <w:object>
          <v:shape id="_x0000_i1056" o:spt="75" type="#_x0000_t75" style="height:19pt;width:10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position w:val="-4"/>
          <w:sz w:val="24"/>
          <w:szCs w:val="24"/>
          <w:lang w:val="en-US" w:eastAsia="zh-CN"/>
        </w:rPr>
        <w:object>
          <v:shape id="_x0000_i1057" o:spt="75" type="#_x0000_t75" style="height:13pt;width:13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b w:val="0"/>
          <w:bCs w:val="0"/>
          <w:sz w:val="24"/>
          <w:szCs w:val="24"/>
          <w:lang w:val="en-US" w:eastAsia="zh-CN"/>
        </w:rPr>
        <w:t>称为输入空间，输入空间中的每一个点</w:t>
      </w:r>
      <w:r>
        <w:rPr>
          <w:rFonts w:hint="eastAsia" w:asciiTheme="minorEastAsia" w:hAnsiTheme="minorEastAsia" w:cstheme="minorEastAsia"/>
          <w:b w:val="0"/>
          <w:bCs w:val="0"/>
          <w:position w:val="-12"/>
          <w:sz w:val="24"/>
          <w:szCs w:val="24"/>
          <w:lang w:val="en-US" w:eastAsia="zh-CN"/>
        </w:rPr>
        <w:object>
          <v:shape id="_x0000_i1058" o:spt="75" type="#_x0000_t75" style="height:18pt;width:24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b w:val="0"/>
          <w:bCs w:val="0"/>
          <w:sz w:val="24"/>
          <w:szCs w:val="24"/>
          <w:lang w:val="en-US" w:eastAsia="zh-CN"/>
        </w:rPr>
        <w:t>由n个主成分属性组成，</w:t>
      </w:r>
      <w:r>
        <w:rPr>
          <w:rFonts w:hint="eastAsia" w:asciiTheme="minorEastAsia" w:hAnsiTheme="minorEastAsia" w:cstheme="minorEastAsia"/>
          <w:b w:val="0"/>
          <w:bCs w:val="0"/>
          <w:position w:val="-12"/>
          <w:sz w:val="24"/>
          <w:szCs w:val="24"/>
          <w:lang w:val="en-US" w:eastAsia="zh-CN"/>
        </w:rPr>
        <w:object>
          <v:shape id="_x0000_i1059" o:spt="75" type="#_x0000_t75" style="height:18pt;width:138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b w:val="0"/>
          <w:bCs w:val="0"/>
          <w:sz w:val="24"/>
          <w:szCs w:val="24"/>
          <w:lang w:val="en-US" w:eastAsia="zh-CN"/>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lang w:val="en-US" w:eastAsia="zh-CN"/>
        </w:rPr>
        <w:t>的</w:t>
      </w:r>
      <w:r>
        <w:rPr>
          <w:rFonts w:hint="eastAsia" w:asciiTheme="minorEastAsia" w:hAnsiTheme="minorEastAsia" w:cstheme="minorEastAsia"/>
          <w:b w:val="0"/>
          <w:bCs w:val="0"/>
          <w:sz w:val="24"/>
          <w:szCs w:val="24"/>
          <w:lang w:val="en-US" w:eastAsia="zh-CN"/>
        </w:rPr>
        <w:t>一个实值函数</w:t>
      </w:r>
      <w:r>
        <w:rPr>
          <w:rFonts w:hint="eastAsia" w:asciiTheme="minorEastAsia" w:hAnsiTheme="minorEastAsia" w:cstheme="minorEastAsia"/>
          <w:b w:val="0"/>
          <w:bCs w:val="0"/>
          <w:position w:val="-12"/>
          <w:sz w:val="24"/>
          <w:szCs w:val="24"/>
          <w:lang w:val="en-US" w:eastAsia="zh-CN"/>
        </w:rPr>
        <w:object>
          <v:shape id="_x0000_i1060" o:spt="75" type="#_x0000_t75" style="height:18pt;width:40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b w:val="0"/>
          <w:bCs w:val="0"/>
          <w:sz w:val="24"/>
          <w:szCs w:val="24"/>
          <w:lang w:val="en-US" w:eastAsia="zh-CN"/>
        </w:rPr>
        <w:t>,以便用分类函数</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61" o:spt="75" type="#_x0000_t75" style="height:18pt;width:113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值的问题为分类问题。此分类方式即为支持向量机分类方式，此分类函数即为超平面。下面给出结合本文定义的规范超平面的定义：</w:t>
      </w:r>
    </w:p>
    <w:p>
      <w:p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空间</w:t>
      </w:r>
      <w:r>
        <w:rPr>
          <w:rFonts w:hint="eastAsia" w:asciiTheme="minorEastAsia" w:hAnsiTheme="minorEastAsia" w:cstheme="minorEastAsia"/>
          <w:b w:val="0"/>
          <w:bCs w:val="0"/>
          <w:position w:val="-4"/>
          <w:sz w:val="24"/>
          <w:szCs w:val="24"/>
          <w:lang w:val="en-US" w:eastAsia="zh-CN"/>
        </w:rPr>
        <w:object>
          <v:shape id="_x0000_i1062" o:spt="75" type="#_x0000_t75" style="height:15pt;width:16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b w:val="0"/>
          <w:bCs w:val="0"/>
          <w:sz w:val="24"/>
          <w:szCs w:val="24"/>
          <w:lang w:val="en-US" w:eastAsia="zh-CN"/>
        </w:rPr>
        <w:t>中超平面都可以写为</w:t>
      </w:r>
      <w:r>
        <w:rPr>
          <w:rFonts w:hint="eastAsia" w:asciiTheme="minorEastAsia" w:hAnsiTheme="minorEastAsia" w:cstheme="minorEastAsia"/>
          <w:b w:val="0"/>
          <w:bCs w:val="0"/>
          <w:position w:val="-12"/>
          <w:sz w:val="24"/>
          <w:szCs w:val="24"/>
          <w:lang w:val="en-US" w:eastAsia="zh-CN"/>
        </w:rPr>
        <w:object>
          <v:shape id="_x0000_i1063" o:spt="75" type="#_x0000_t75" style="height:18pt;width:84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b w:val="0"/>
          <w:bCs w:val="0"/>
          <w:sz w:val="24"/>
          <w:szCs w:val="24"/>
          <w:lang w:val="en-US" w:eastAsia="zh-CN"/>
        </w:rPr>
        <w:t>的形式，参数</w:t>
      </w:r>
      <w:r>
        <w:rPr>
          <w:rFonts w:hint="eastAsia" w:asciiTheme="minorEastAsia" w:hAnsiTheme="minorEastAsia" w:cstheme="minorEastAsia"/>
          <w:b w:val="0"/>
          <w:bCs w:val="0"/>
          <w:position w:val="-10"/>
          <w:sz w:val="24"/>
          <w:szCs w:val="24"/>
          <w:lang w:val="en-US" w:eastAsia="zh-CN"/>
        </w:rPr>
        <w:object>
          <v:shape id="_x0000_i1064" o:spt="75" type="#_x0000_t75" style="height:17pt;width:2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b w:val="0"/>
          <w:bCs w:val="0"/>
          <w:sz w:val="24"/>
          <w:szCs w:val="24"/>
          <w:lang w:val="en-US" w:eastAsia="zh-CN"/>
        </w:rPr>
        <w:t>乘以任意一个非零常数后得到的是同一个超平面，定义满足条件</w:t>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38"/>
          <w:sz w:val="24"/>
          <w:szCs w:val="24"/>
          <w:lang w:val="en-US" w:eastAsia="zh-CN"/>
        </w:rPr>
        <w:object>
          <v:shape id="_x0000_i1065" o:spt="75" type="#_x0000_t75" style="height:44pt;width:13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66" o:spt="75" type="#_x0000_t75" style="height:16pt;width:42.9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的超平面为训练集T的规范超平面。</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定义满足</w:t>
      </w:r>
      <w:r>
        <w:rPr>
          <w:rFonts w:hint="eastAsia" w:asciiTheme="minorEastAsia" w:hAnsiTheme="minorEastAsia" w:eastAsiaTheme="minorEastAsia" w:cstheme="minorEastAsia"/>
          <w:b w:val="0"/>
          <w:bCs w:val="0"/>
          <w:position w:val="-12"/>
          <w:sz w:val="24"/>
          <w:szCs w:val="24"/>
          <w:lang w:val="en-US" w:eastAsia="zh-CN"/>
        </w:rPr>
        <w:object>
          <v:shape id="_x0000_i1067"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eastAsiaTheme="minorEastAsia" w:cstheme="minorEastAsia"/>
          <w:b w:val="0"/>
          <w:bCs w:val="0"/>
          <w:sz w:val="24"/>
          <w:szCs w:val="24"/>
          <w:lang w:val="en-US" w:eastAsia="zh-CN"/>
        </w:rPr>
        <w:t>成立的</w:t>
      </w:r>
      <w:r>
        <w:rPr>
          <w:rFonts w:hint="eastAsia" w:asciiTheme="minorEastAsia" w:hAnsiTheme="minorEastAsia" w:eastAsiaTheme="minorEastAsia" w:cstheme="minorEastAsia"/>
          <w:b w:val="0"/>
          <w:bCs w:val="0"/>
          <w:position w:val="-6"/>
          <w:sz w:val="24"/>
          <w:szCs w:val="24"/>
          <w:lang w:val="en-US" w:eastAsia="zh-CN"/>
        </w:rPr>
        <w:object>
          <v:shape id="_x0000_i1068"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eastAsiaTheme="minorEastAsia" w:cstheme="minorEastAsia"/>
          <w:b w:val="0"/>
          <w:bCs w:val="0"/>
          <w:sz w:val="24"/>
          <w:szCs w:val="24"/>
          <w:lang w:val="en-US" w:eastAsia="zh-CN"/>
        </w:rPr>
        <w:t>称为普通支持向量，普通支持向量间的间隔为</w:t>
      </w:r>
      <w:r>
        <w:rPr>
          <w:rFonts w:hint="eastAsia" w:asciiTheme="minorEastAsia" w:hAnsiTheme="minorEastAsia" w:eastAsiaTheme="minorEastAsia" w:cstheme="minorEastAsia"/>
          <w:b w:val="0"/>
          <w:bCs w:val="0"/>
          <w:position w:val="-32"/>
          <w:sz w:val="24"/>
          <w:szCs w:val="24"/>
          <w:lang w:val="en-US" w:eastAsia="zh-CN"/>
        </w:rPr>
        <w:object>
          <v:shape id="_x0000_i1069"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eastAsiaTheme="minorEastAsia" w:cstheme="minorEastAsia"/>
          <w:b w:val="0"/>
          <w:bCs w:val="0"/>
          <w:sz w:val="24"/>
          <w:szCs w:val="24"/>
          <w:lang w:val="en-US" w:eastAsia="zh-CN"/>
        </w:rPr>
        <w:t>。最有超平面即意味着最大化</w:t>
      </w:r>
      <w:r>
        <w:rPr>
          <w:rFonts w:hint="eastAsia" w:asciiTheme="minorEastAsia" w:hAnsiTheme="minorEastAsia" w:eastAsiaTheme="minorEastAsia" w:cstheme="minorEastAsia"/>
          <w:b w:val="0"/>
          <w:bCs w:val="0"/>
          <w:position w:val="-32"/>
          <w:sz w:val="24"/>
          <w:szCs w:val="24"/>
          <w:lang w:val="en-US" w:eastAsia="zh-CN"/>
        </w:rPr>
        <w:object>
          <v:shape id="_x0000_i1070"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2"/>
          <w:sz w:val="24"/>
          <w:szCs w:val="24"/>
          <w:lang w:val="en-US" w:eastAsia="zh-CN"/>
        </w:rPr>
        <w:object>
          <v:shape id="_x0000_i1071"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eastAsiaTheme="minorEastAsia" w:cstheme="minorEastAsia"/>
          <w:b w:val="0"/>
          <w:bCs w:val="0"/>
          <w:sz w:val="24"/>
          <w:szCs w:val="24"/>
          <w:lang w:val="en-US" w:eastAsia="zh-CN"/>
        </w:rPr>
        <w:t>称为分类边界，于是寻找最优超平面的问题可以转化为如下的二次规划问题：</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4"/>
          <w:sz w:val="24"/>
          <w:szCs w:val="24"/>
          <w:lang w:val="en-US" w:eastAsia="zh-CN"/>
        </w:rPr>
        <w:object>
          <v:shape id="_x0000_i1072"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4"/>
          <w:szCs w:val="24"/>
          <w:lang w:val="en-US" w:eastAsia="zh-CN"/>
        </w:rPr>
        <w:t>,</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6"/>
          <w:sz w:val="24"/>
          <w:szCs w:val="24"/>
          <w:lang w:val="en-US" w:eastAsia="zh-CN"/>
        </w:rPr>
        <w:object>
          <v:shape id="_x0000_i1073" o:spt="75" type="#_x0000_t75" style="height:12pt;width:17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2"/>
          <w:sz w:val="24"/>
          <w:szCs w:val="24"/>
          <w:lang w:val="en-US" w:eastAsia="zh-CN"/>
        </w:rPr>
        <w:object>
          <v:shape id="_x0000_i1074" o:spt="75" type="#_x0000_t75" style="height:18pt;width:123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该问题的特点是目标函数</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position w:val="-6"/>
          <w:sz w:val="24"/>
          <w:szCs w:val="24"/>
          <w:lang w:val="en-US" w:eastAsia="zh-CN"/>
        </w:rPr>
        <w:object>
          <v:shape id="_x0000_i1075" o:spt="75" type="#_x0000_t75" style="height:11pt;width:12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eastAsiaTheme="minorEastAsia" w:cstheme="minorEastAsia"/>
          <w:sz w:val="24"/>
          <w:szCs w:val="24"/>
          <w:lang w:val="en-US" w:eastAsia="zh-CN"/>
        </w:rPr>
        <w:t>的凸函数，并且约束条件都是线性的。</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w:t>
      </w:r>
      <w:bookmarkStart w:id="2" w:name="OLE_LINK2"/>
      <w:r>
        <w:rPr>
          <w:rFonts w:hint="eastAsia" w:asciiTheme="minorEastAsia" w:hAnsiTheme="minorEastAsia" w:eastAsiaTheme="minorEastAsia" w:cstheme="minorEastAsia"/>
          <w:position w:val="-10"/>
          <w:sz w:val="24"/>
          <w:szCs w:val="24"/>
          <w:lang w:val="en-US" w:eastAsia="zh-CN"/>
        </w:rPr>
        <w:object>
          <v:shape id="_x0000_i1076"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eastAsiaTheme="minorEastAsia" w:cstheme="minorEastAsia"/>
          <w:sz w:val="24"/>
          <w:szCs w:val="24"/>
          <w:lang w:val="en-US" w:eastAsia="zh-CN"/>
        </w:rPr>
        <w:t>函数</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77" o:spt="75" type="#_x0000_t75" style="height:34pt;width:211.95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78" o:spt="75" type="#_x0000_t75" style="height:20pt;width:101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eastAsiaTheme="minorEastAsia" w:cstheme="minorEastAsia"/>
          <w:sz w:val="24"/>
          <w:szCs w:val="24"/>
          <w:lang w:val="en-US" w:eastAsia="zh-CN"/>
        </w:rPr>
        <w:t>为</w:t>
      </w:r>
      <w:bookmarkStart w:id="3" w:name="OLE_LINK3"/>
      <w:r>
        <w:rPr>
          <w:rFonts w:hint="eastAsia" w:asciiTheme="minorEastAsia" w:hAnsiTheme="minorEastAsia" w:eastAsiaTheme="minorEastAsia" w:cstheme="minorEastAsia"/>
          <w:position w:val="-10"/>
          <w:sz w:val="24"/>
          <w:szCs w:val="24"/>
          <w:lang w:val="en-US" w:eastAsia="zh-CN"/>
        </w:rPr>
        <w:object>
          <v:shape id="_x0000_i1079"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eastAsiaTheme="minorEastAsia" w:cstheme="minorEastAsia"/>
          <w:sz w:val="24"/>
          <w:szCs w:val="24"/>
          <w:lang w:val="en-US" w:eastAsia="zh-CN"/>
        </w:rPr>
        <w:t>乘子。</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根据对偶的定义，通过对原问题中各变量的偏导置零，得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0" o:spt="75" type="#_x0000_t75" style="height:34pt;width:119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1" o:spt="75" type="#_x0000_t75" style="height:34pt;width:105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代入</w:t>
      </w:r>
      <w:r>
        <w:rPr>
          <w:rFonts w:hint="eastAsia" w:asciiTheme="minorEastAsia" w:hAnsiTheme="minorEastAsia" w:eastAsiaTheme="minorEastAsia" w:cstheme="minorEastAsia"/>
          <w:position w:val="-10"/>
          <w:sz w:val="24"/>
          <w:szCs w:val="24"/>
          <w:lang w:val="en-US" w:eastAsia="zh-CN"/>
        </w:rPr>
        <w:object>
          <v:shape id="_x0000_i1082"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eastAsiaTheme="minorEastAsia" w:cstheme="minorEastAsia"/>
          <w:sz w:val="24"/>
          <w:szCs w:val="24"/>
          <w:lang w:val="en-US" w:eastAsia="zh-CN"/>
        </w:rPr>
        <w:t>函数化为原问题的</w:t>
      </w:r>
      <w:r>
        <w:rPr>
          <w:rFonts w:hint="eastAsia" w:asciiTheme="minorEastAsia" w:hAnsiTheme="minorEastAsia" w:eastAsiaTheme="minorEastAsia" w:cstheme="minorEastAsia"/>
          <w:position w:val="-10"/>
          <w:sz w:val="24"/>
          <w:szCs w:val="24"/>
          <w:lang w:val="en-US" w:eastAsia="zh-CN"/>
        </w:rPr>
        <w:object>
          <v:shape id="_x0000_i1083"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eastAsiaTheme="minorEastAsia" w:cstheme="minorEastAsia"/>
          <w:sz w:val="24"/>
          <w:szCs w:val="24"/>
          <w:lang w:val="en-US" w:eastAsia="zh-CN"/>
        </w:rPr>
        <w:t>对偶问题：</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0"/>
          <w:sz w:val="24"/>
          <w:szCs w:val="24"/>
          <w:lang w:val="en-US" w:eastAsia="zh-CN"/>
        </w:rPr>
        <w:object>
          <v:shape id="_x0000_i1084" o:spt="75" type="#_x0000_t75" style="height:22pt;width:24.95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30"/>
          <w:sz w:val="24"/>
          <w:szCs w:val="24"/>
          <w:lang w:val="en-US" w:eastAsia="zh-CN"/>
        </w:rPr>
        <w:object>
          <v:shape id="_x0000_i1085" o:spt="75" type="#_x0000_t75" style="height:35pt;width:15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8"/>
          <w:sz w:val="24"/>
          <w:szCs w:val="24"/>
          <w:lang w:val="en-US" w:eastAsia="zh-CN"/>
        </w:rPr>
        <w:object>
          <v:shape id="_x0000_i1086" o:spt="75" type="#_x0000_t75" style="height:54pt;width:9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求解上述最优化问题，得到最优解</w:t>
      </w:r>
      <w:r>
        <w:rPr>
          <w:rFonts w:hint="eastAsia" w:asciiTheme="minorEastAsia" w:hAnsiTheme="minorEastAsia" w:eastAsiaTheme="minorEastAsia" w:cstheme="minorEastAsia"/>
          <w:position w:val="-12"/>
          <w:sz w:val="24"/>
          <w:szCs w:val="24"/>
          <w:lang w:val="en-US" w:eastAsia="zh-CN"/>
        </w:rPr>
        <w:object>
          <v:shape id="_x0000_i1087" o:spt="75" type="#_x0000_t75" style="height:22pt;width:80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eastAsiaTheme="minorEastAsia" w:cstheme="minorEastAsia"/>
          <w:sz w:val="24"/>
          <w:szCs w:val="24"/>
          <w:lang w:val="en-US" w:eastAsia="zh-CN"/>
        </w:rPr>
        <w:t>，计算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8" o:spt="75" type="#_x0000_t75" style="height:34pt;width:74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position w:val="-4"/>
          <w:sz w:val="24"/>
          <w:szCs w:val="24"/>
          <w:lang w:val="en-US" w:eastAsia="zh-CN"/>
        </w:rPr>
        <w:object>
          <v:shape id="_x0000_i1089" o:spt="75" type="#_x0000_t75" style="height:13pt;width:28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szCs w:val="24"/>
          <w:lang w:val="en-US" w:eastAsia="zh-CN"/>
        </w:rPr>
        <w:t>互补条件知</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2"/>
          <w:sz w:val="24"/>
          <w:szCs w:val="24"/>
          <w:lang w:val="en-US" w:eastAsia="zh-CN"/>
        </w:rPr>
        <w:object>
          <v:shape id="_x0000_i1090" o:spt="75" type="#_x0000_t75" style="height:19pt;width:121.95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可得只有当</w:t>
      </w:r>
      <w:r>
        <w:rPr>
          <w:rFonts w:hint="eastAsia" w:asciiTheme="minorEastAsia" w:hAnsiTheme="minorEastAsia" w:cstheme="minorEastAsia"/>
          <w:position w:val="-12"/>
          <w:sz w:val="24"/>
          <w:szCs w:val="24"/>
          <w:lang w:val="en-US" w:eastAsia="zh-CN"/>
        </w:rPr>
        <w:object>
          <v:shape id="_x0000_i1091" o:spt="75" type="#_x0000_t75" style="height:18pt;width:12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szCs w:val="24"/>
          <w:lang w:val="en-US" w:eastAsia="zh-CN"/>
        </w:rPr>
        <w:t>为支持向量的时候，对应的</w:t>
      </w:r>
      <w:r>
        <w:rPr>
          <w:rFonts w:hint="eastAsia" w:asciiTheme="minorEastAsia" w:hAnsiTheme="minorEastAsia" w:cstheme="minorEastAsia"/>
          <w:position w:val="-12"/>
          <w:sz w:val="24"/>
          <w:szCs w:val="24"/>
          <w:lang w:val="en-US" w:eastAsia="zh-CN"/>
        </w:rPr>
        <w:object>
          <v:shape id="_x0000_i1092" o:spt="75" type="#_x0000_t75" style="height:19pt;width:15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szCs w:val="24"/>
          <w:lang w:val="en-US" w:eastAsia="zh-CN"/>
        </w:rPr>
        <w:t>才为正，否则皆为0。选择</w:t>
      </w:r>
      <w:r>
        <w:rPr>
          <w:rFonts w:hint="eastAsia" w:asciiTheme="minorEastAsia" w:hAnsiTheme="minorEastAsia" w:cstheme="minorEastAsia"/>
          <w:position w:val="-12"/>
          <w:sz w:val="24"/>
          <w:szCs w:val="24"/>
          <w:lang w:val="en-US" w:eastAsia="zh-CN"/>
        </w:rPr>
        <w:object>
          <v:shape id="_x0000_i1093" o:spt="75" type="#_x0000_t75" style="height:19pt;width:15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szCs w:val="24"/>
          <w:lang w:val="en-US" w:eastAsia="zh-CN"/>
        </w:rPr>
        <w:t>的一个正分量</w:t>
      </w:r>
      <w:r>
        <w:rPr>
          <w:rFonts w:hint="eastAsia" w:asciiTheme="minorEastAsia" w:hAnsiTheme="minorEastAsia" w:cstheme="minorEastAsia"/>
          <w:position w:val="-14"/>
          <w:sz w:val="24"/>
          <w:szCs w:val="24"/>
          <w:lang w:val="en-US" w:eastAsia="zh-CN"/>
        </w:rPr>
        <w:object>
          <v:shape id="_x0000_i1094" o:spt="75" type="#_x0000_t75" style="height:20pt;width:15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szCs w:val="24"/>
          <w:lang w:val="en-US" w:eastAsia="zh-CN"/>
        </w:rPr>
        <w:t>，并以此计算</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5" o:spt="75" type="#_x0000_t75" style="height:34pt;width:1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于是构造分类超平面</w:t>
      </w:r>
      <w:r>
        <w:rPr>
          <w:rFonts w:hint="eastAsia" w:asciiTheme="minorEastAsia" w:hAnsiTheme="minorEastAsia" w:cstheme="minorEastAsia"/>
          <w:position w:val="-10"/>
          <w:sz w:val="24"/>
          <w:szCs w:val="24"/>
          <w:lang w:val="en-US" w:eastAsia="zh-CN"/>
        </w:rPr>
        <w:object>
          <v:shape id="_x0000_i1096" o:spt="75" type="#_x0000_t75" style="height:18pt;width:74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szCs w:val="24"/>
          <w:lang w:val="en-US" w:eastAsia="zh-CN"/>
        </w:rPr>
        <w:t>,并由此求得决策函数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7" o:spt="75" type="#_x0000_t75" style="height:34pt;width:157.95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得到分类函数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98" o:spt="75" type="#_x0000_t75" style="height:36pt;width:18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从而对未知样本进行分类。</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5.1.2.3神经网络分析算法</w:t>
      </w:r>
    </w:p>
    <w:p>
      <w:pPr>
        <w:rPr>
          <w:rFonts w:hint="eastAsia" w:ascii="黑体" w:hAnsi="黑体" w:eastAsia="黑体" w:cs="黑体"/>
          <w:b/>
          <w:bCs/>
          <w:sz w:val="24"/>
        </w:rPr>
      </w:pPr>
      <w:r>
        <w:rPr>
          <w:rFonts w:hint="eastAsia" w:ascii="黑体" w:hAnsi="黑体" w:eastAsia="黑体" w:cs="黑体"/>
          <w:b/>
          <w:bCs/>
          <w:sz w:val="24"/>
        </w:rPr>
        <w:t>5.1.3模型求解</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5.1.3.1神经网络分析违约可能性结果</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5.1.3.2神经网络进行授信额度估算</w:t>
      </w:r>
    </w:p>
    <w:p>
      <w:pPr>
        <w:rPr>
          <w:rFonts w:hint="eastAsia" w:asciiTheme="majorEastAsia" w:hAnsiTheme="majorEastAsia" w:eastAsiaTheme="majorEastAsia" w:cstheme="majorEastAsia"/>
          <w:sz w:val="24"/>
          <w:szCs w:val="24"/>
        </w:rPr>
      </w:pPr>
      <w:r>
        <w:rPr>
          <w:rFonts w:hint="eastAsia" w:ascii="黑体" w:hAnsi="黑体" w:eastAsia="黑体" w:cs="黑体"/>
          <w:b/>
          <w:bCs/>
          <w:sz w:val="24"/>
          <w:lang w:val="en-US" w:eastAsia="zh-CN"/>
        </w:rPr>
        <w:t xml:space="preserve">   </w:t>
      </w:r>
      <w:r>
        <w:rPr>
          <w:rFonts w:hint="eastAsia" w:asciiTheme="majorEastAsia" w:hAnsiTheme="majorEastAsia" w:eastAsiaTheme="majorEastAsia" w:cstheme="majorEastAsia"/>
          <w:sz w:val="24"/>
          <w:szCs w:val="24"/>
        </w:rPr>
        <w:t>为了实现对授信额度的估算，我们训练了回归的神经网络，根据已有数据估算授信额度。</w:t>
      </w:r>
    </w:p>
    <w:p>
      <w:pPr>
        <w:ind w:firstLine="420" w:firstLineChars="0"/>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BP（Back Propagation）神经网络传输函数为</w:t>
      </w:r>
      <w:r>
        <w:rPr>
          <w:rFonts w:hint="eastAsia" w:asciiTheme="majorEastAsia" w:hAnsiTheme="majorEastAsia" w:eastAsiaTheme="majorEastAsia" w:cstheme="majorEastAsia"/>
          <w:position w:val="-6"/>
          <w:sz w:val="24"/>
          <w:szCs w:val="24"/>
          <w:lang w:val="en-US" w:eastAsia="zh-CN"/>
        </w:rPr>
        <w:object>
          <v:shape id="_x0000_i1099" o:spt="75" type="#_x0000_t75" style="height:13.95pt;width:44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asciiTheme="majorEastAsia" w:hAnsiTheme="majorEastAsia" w:eastAsiaTheme="majorEastAsia" w:cstheme="majorEastAsia"/>
          <w:sz w:val="24"/>
          <w:szCs w:val="24"/>
          <w:lang w:val="en-US" w:eastAsia="zh-CN"/>
        </w:rPr>
        <w:t>函数；训练函数为</w:t>
      </w:r>
      <w:r>
        <w:rPr>
          <w:rFonts w:hint="eastAsia" w:asciiTheme="majorEastAsia" w:hAnsiTheme="majorEastAsia" w:eastAsiaTheme="majorEastAsia" w:cstheme="majorEastAsia"/>
          <w:position w:val="-6"/>
          <w:sz w:val="24"/>
          <w:szCs w:val="24"/>
          <w:lang w:val="en-US" w:eastAsia="zh-CN"/>
        </w:rPr>
        <w:object>
          <v:shape id="_x0000_i1100" o:spt="75" type="#_x0000_t75" style="height:13.95pt;width:55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asciiTheme="majorEastAsia" w:hAnsiTheme="majorEastAsia" w:eastAsiaTheme="majorEastAsia" w:cstheme="majorEastAsia"/>
          <w:sz w:val="24"/>
          <w:szCs w:val="24"/>
          <w:lang w:val="en-US" w:eastAsia="zh-CN"/>
        </w:rPr>
        <w:t>函数；学习规则为</w:t>
      </w:r>
      <w:r>
        <w:rPr>
          <w:rFonts w:hint="eastAsia" w:asciiTheme="majorEastAsia" w:hAnsiTheme="majorEastAsia" w:eastAsiaTheme="majorEastAsia" w:cstheme="majorEastAsia"/>
          <w:position w:val="-6"/>
          <w:sz w:val="24"/>
          <w:szCs w:val="24"/>
          <w:lang w:val="en-US" w:eastAsia="zh-CN"/>
        </w:rPr>
        <w:object>
          <v:shape id="_x0000_i1101" o:spt="75" type="#_x0000_t75" style="height:13.95pt;width:70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asciiTheme="majorEastAsia" w:hAnsiTheme="majorEastAsia" w:eastAsiaTheme="majorEastAsia" w:cstheme="majorEastAsia"/>
          <w:sz w:val="24"/>
          <w:szCs w:val="24"/>
          <w:lang w:val="en-US" w:eastAsia="zh-CN"/>
        </w:rPr>
        <w:t>；所使用的误差评判标准为</w:t>
      </w:r>
      <w:r>
        <w:rPr>
          <w:rFonts w:hint="eastAsia" w:asciiTheme="majorEastAsia" w:hAnsiTheme="majorEastAsia" w:eastAsiaTheme="majorEastAsia" w:cstheme="majorEastAsia"/>
          <w:position w:val="-6"/>
          <w:sz w:val="24"/>
          <w:szCs w:val="24"/>
          <w:lang w:val="en-US" w:eastAsia="zh-CN"/>
        </w:rPr>
        <w:object>
          <v:shape id="_x0000_i1102" o:spt="75" type="#_x0000_t75" style="height:13.95pt;width:28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asciiTheme="majorEastAsia" w:hAnsiTheme="majorEastAsia" w:eastAsiaTheme="majorEastAsia" w:cstheme="majorEastAsia"/>
          <w:sz w:val="24"/>
          <w:szCs w:val="24"/>
          <w:lang w:val="en-US" w:eastAsia="zh-CN"/>
        </w:rPr>
        <w:t>均方误差。</w:t>
      </w:r>
      <w:r>
        <w:rPr>
          <w:rFonts w:hint="eastAsia" w:asciiTheme="majorEastAsia" w:hAnsiTheme="majorEastAsia" w:eastAsiaTheme="majorEastAsia" w:cstheme="majorEastAsia"/>
          <w:sz w:val="24"/>
          <w:szCs w:val="24"/>
        </w:rPr>
        <w:t>神经网络的模型结构</w:t>
      </w:r>
      <w:r>
        <w:rPr>
          <w:rFonts w:hint="eastAsia" w:asciiTheme="majorEastAsia" w:hAnsiTheme="majorEastAsia" w:eastAsiaTheme="majorEastAsia" w:cstheme="majorEastAsia"/>
          <w:sz w:val="24"/>
          <w:szCs w:val="24"/>
          <w:lang w:val="en-US" w:eastAsia="zh-CN"/>
        </w:rPr>
        <w:t>和参数</w:t>
      </w:r>
      <w:r>
        <w:rPr>
          <w:rFonts w:hint="eastAsia" w:asciiTheme="majorEastAsia" w:hAnsiTheme="majorEastAsia" w:eastAsiaTheme="majorEastAsia" w:cstheme="majorEastAsia"/>
          <w:sz w:val="24"/>
          <w:szCs w:val="24"/>
        </w:rPr>
        <w:t>如下图所示：</w:t>
      </w:r>
    </w:p>
    <w:p>
      <w:pPr>
        <w:widowControl/>
        <w:jc w:val="center"/>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bookmarkStart w:id="4" w:name="_GoBack"/>
      <w:bookmarkEnd w:id="4"/>
    </w:p>
    <w:p>
      <w:pPr>
        <w:keepNext w:val="0"/>
        <w:keepLines w:val="0"/>
        <w:widowControl/>
        <w:suppressLineNumbers w:val="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widowControl/>
        <w:jc w:val="center"/>
        <w:rPr>
          <w:rFonts w:hint="eastAsia" w:asciiTheme="majorEastAsia" w:hAnsiTheme="majorEastAsia" w:eastAsiaTheme="majorEastAsia" w:cstheme="majorEastAsia"/>
          <w:kern w:val="0"/>
          <w:sz w:val="24"/>
          <w:szCs w:val="24"/>
          <w:lang w:eastAsia="zh-CN"/>
        </w:rPr>
      </w:pP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szCs w:val="24"/>
          <w:lang w:val="en-US" w:eastAsia="zh-CN"/>
        </w:rPr>
        <w:object>
          <v:shape id="_x0000_i1103" o:spt="75" type="#_x0000_t75" style="height:13.95pt;width:28pt;" o:ole="t" filled="f" o:preferrelative="t" stroked="f" coordsize="21600,21600">
            <v:path/>
            <v:fill on="f" focussize="0,0"/>
            <v:stroke on="f"/>
            <v:imagedata r:id="rId165" o:title=""/>
            <o:lock v:ext="edit" aspectratio="t"/>
            <w10:wrap type="none"/>
            <w10:anchorlock/>
          </v:shape>
          <o:OLEObject Type="Embed" ProgID="Equation.KSEE3" ShapeID="_x0000_i1103" DrawAspect="Content" ObjectID="_1468075803" r:id="rId164">
            <o:LockedField>false</o:LockedField>
          </o:OLEObject>
        </w:object>
      </w:r>
      <w:r>
        <w:rPr>
          <w:rFonts w:hint="eastAsia" w:asciiTheme="majorEastAsia" w:hAnsiTheme="majorEastAsia" w:eastAsiaTheme="majorEastAsia" w:cstheme="majorEastAsia"/>
          <w:sz w:val="24"/>
          <w:szCs w:val="24"/>
          <w:lang w:val="en-US" w:eastAsia="zh-CN"/>
        </w:rPr>
        <w:t>误差（均方误差）为33.659760694303344。</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66"/>
                    <a:stretch>
                      <a:fillRect/>
                    </a:stretch>
                  </pic:blipFill>
                  <pic:spPr>
                    <a:xfrm>
                      <a:off x="0" y="0"/>
                      <a:ext cx="4276090" cy="3142615"/>
                    </a:xfrm>
                    <a:prstGeom prst="rect">
                      <a:avLst/>
                    </a:prstGeom>
                    <a:noFill/>
                    <a:ln w="9525">
                      <a:noFill/>
                    </a:ln>
                  </pic:spPr>
                </pic:pic>
              </a:graphicData>
            </a:graphic>
          </wp:inline>
        </w:drawing>
      </w:r>
    </w:p>
    <w:p>
      <w:pPr>
        <w:rPr>
          <w:rFonts w:hint="eastAsia" w:ascii="黑体" w:hAnsi="黑体" w:eastAsia="黑体" w:cs="黑体"/>
          <w:b/>
          <w:bCs/>
          <w:sz w:val="24"/>
          <w:lang w:val="en-US" w:eastAsia="zh-CN"/>
        </w:rPr>
      </w:pP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 xml:space="preserve">   </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5.1.3.3主成分分析与支持向量机预测违约结果</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根据输入的用户信息属性数据，通过主成分分析，得出如下图结果，得出24个主成分实现了降维效果（原先属性有29项）</w:t>
      </w:r>
    </w:p>
    <w:p>
      <w:pPr>
        <w:keepNext w:val="0"/>
        <w:keepLines w:val="0"/>
        <w:widowControl/>
        <w:suppressLineNumbers w:val="0"/>
        <w:pBdr>
          <w:bottom w:val="none" w:color="auto" w:sz="0" w:space="0"/>
        </w:pBd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167"/>
                    <a:stretch>
                      <a:fillRect/>
                    </a:stretch>
                  </pic:blipFill>
                  <pic:spPr>
                    <a:xfrm>
                      <a:off x="0" y="0"/>
                      <a:ext cx="3870960" cy="316674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center"/>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主成分表</w:t>
      </w:r>
    </w:p>
    <w:p>
      <w:pPr>
        <w:keepNext w:val="0"/>
        <w:keepLines w:val="0"/>
        <w:widowControl/>
        <w:suppressLineNumbers w:val="0"/>
        <w:pBdr>
          <w:top w:val="single" w:color="auto" w:sz="4" w:space="0"/>
          <w:bottom w:val="single" w:color="auto" w:sz="4" w:space="0"/>
        </w:pBd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权重值排序                                主成分</w:t>
      </w:r>
    </w:p>
    <w:p>
      <w:pPr>
        <w:keepNext w:val="0"/>
        <w:keepLines w:val="0"/>
        <w:widowControl/>
        <w:numPr>
          <w:ilvl w:val="0"/>
          <w:numId w:val="3"/>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授信额度</w:t>
      </w:r>
    </w:p>
    <w:p>
      <w:pPr>
        <w:keepNext w:val="0"/>
        <w:keepLines w:val="0"/>
        <w:widowControl/>
        <w:numPr>
          <w:ilvl w:val="0"/>
          <w:numId w:val="3"/>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婚姻状况</w:t>
      </w:r>
    </w:p>
    <w:p>
      <w:pPr>
        <w:keepNext w:val="0"/>
        <w:keepLines w:val="0"/>
        <w:widowControl/>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卡均使用率</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经营合同风险性质</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同意交易对手频次</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交易对手数量</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利息保障倍数</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                                     毛利率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退租率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出租率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月均还款占比</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月均银行账户资金留存</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年龄</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固定资产</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大额进出额交易频率</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贷款类查询记录（含本人）</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合伙人数量</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第三方征信风险得分</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申请人公检法记录</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户籍所在地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申请人占股</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近5年内贷款逾期次数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有效信用卡数</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新开金融类账户数量</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p>
    <w:p>
      <w:pPr>
        <w:ind w:firstLine="480" w:firstLineChars="200"/>
        <w:jc w:val="both"/>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根据分析出的24个主成分，立用支持向量机计算出的80个class未知客户的违约结果如下。（注：0表示不违约，1表示违约）</w:t>
      </w:r>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U80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bl>
    <w:p>
      <w:pPr>
        <w:jc w:val="both"/>
        <w:rPr>
          <w:rFonts w:hint="eastAsia" w:asciiTheme="minorEastAsia" w:hAnsiTheme="minorEastAsia" w:cstheme="minorEastAsia"/>
          <w:b w:val="0"/>
          <w:bCs w:val="0"/>
          <w:sz w:val="24"/>
          <w:lang w:val="en-US" w:eastAsia="zh-CN"/>
        </w:rPr>
      </w:pPr>
    </w:p>
    <w:p>
      <w:pPr>
        <w:jc w:val="center"/>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37D8AEEF"/>
    <w:multiLevelType w:val="singleLevel"/>
    <w:tmpl w:val="37D8AEEF"/>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5D62F26"/>
    <w:rsid w:val="0C5E1F63"/>
    <w:rsid w:val="0CEE4971"/>
    <w:rsid w:val="0F9A65A2"/>
    <w:rsid w:val="114F7581"/>
    <w:rsid w:val="11917DED"/>
    <w:rsid w:val="12D839C4"/>
    <w:rsid w:val="18977FC8"/>
    <w:rsid w:val="19330BC6"/>
    <w:rsid w:val="1B4B569D"/>
    <w:rsid w:val="1E3B3E83"/>
    <w:rsid w:val="24C07C3A"/>
    <w:rsid w:val="2B5444B4"/>
    <w:rsid w:val="2CBA37C8"/>
    <w:rsid w:val="316050EA"/>
    <w:rsid w:val="32630D3E"/>
    <w:rsid w:val="37D3129B"/>
    <w:rsid w:val="38090C89"/>
    <w:rsid w:val="3B634C47"/>
    <w:rsid w:val="405F745A"/>
    <w:rsid w:val="440724D9"/>
    <w:rsid w:val="485316A9"/>
    <w:rsid w:val="50B76E41"/>
    <w:rsid w:val="52A50747"/>
    <w:rsid w:val="57506C65"/>
    <w:rsid w:val="58D245C9"/>
    <w:rsid w:val="5B6B4E21"/>
    <w:rsid w:val="659203B5"/>
    <w:rsid w:val="6BCA68D9"/>
    <w:rsid w:val="6EC878EA"/>
    <w:rsid w:val="737E759C"/>
    <w:rsid w:val="74191F27"/>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0" Type="http://schemas.openxmlformats.org/officeDocument/2006/relationships/fontTable" Target="fontTable.xml"/><Relationship Id="rId17" Type="http://schemas.openxmlformats.org/officeDocument/2006/relationships/image" Target="media/image7.wmf"/><Relationship Id="rId169" Type="http://schemas.openxmlformats.org/officeDocument/2006/relationships/numbering" Target="numbering.xml"/><Relationship Id="rId168" Type="http://schemas.openxmlformats.org/officeDocument/2006/relationships/customXml" Target="../customXml/item1.xml"/><Relationship Id="rId167" Type="http://schemas.openxmlformats.org/officeDocument/2006/relationships/image" Target="media/image85.png"/><Relationship Id="rId166" Type="http://schemas.openxmlformats.org/officeDocument/2006/relationships/image" Target="media/image84.png"/><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png"/><Relationship Id="rId162" Type="http://schemas.openxmlformats.org/officeDocument/2006/relationships/image" Target="media/image81.wmf"/><Relationship Id="rId161" Type="http://schemas.openxmlformats.org/officeDocument/2006/relationships/oleObject" Target="embeddings/oleObject78.bin"/><Relationship Id="rId160" Type="http://schemas.openxmlformats.org/officeDocument/2006/relationships/image" Target="media/image80.wmf"/><Relationship Id="rId16" Type="http://schemas.openxmlformats.org/officeDocument/2006/relationships/oleObject" Target="embeddings/oleObject7.bin"/><Relationship Id="rId159" Type="http://schemas.openxmlformats.org/officeDocument/2006/relationships/oleObject" Target="embeddings/oleObject77.bin"/><Relationship Id="rId158" Type="http://schemas.openxmlformats.org/officeDocument/2006/relationships/image" Target="media/image79.wmf"/><Relationship Id="rId157" Type="http://schemas.openxmlformats.org/officeDocument/2006/relationships/oleObject" Target="embeddings/oleObject76.bin"/><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1</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TOP GUN</cp:lastModifiedBy>
  <dcterms:modified xsi:type="dcterms:W3CDTF">2018-05-19T10:53:55Z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