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rPr>
        <w:t>基于主成分分析、支持向量机和神经网络的放贷决策模型</w:t>
      </w:r>
    </w:p>
    <w:p>
      <w:pPr>
        <w:jc w:val="center"/>
        <w:rPr>
          <w:b/>
          <w:bCs/>
          <w:sz w:val="28"/>
          <w:szCs w:val="28"/>
        </w:rPr>
      </w:pPr>
    </w:p>
    <w:p>
      <w:pPr>
        <w:jc w:val="center"/>
        <w:rPr>
          <w:b/>
          <w:bCs/>
          <w:sz w:val="28"/>
          <w:szCs w:val="28"/>
        </w:rPr>
      </w:pPr>
      <w:r>
        <w:rPr>
          <w:rFonts w:hint="eastAsia"/>
          <w:b/>
          <w:bCs/>
          <w:sz w:val="28"/>
          <w:szCs w:val="28"/>
        </w:rPr>
        <w:t>摘要</w:t>
      </w:r>
    </w:p>
    <w:p>
      <w:pPr>
        <w:ind w:firstLine="420"/>
        <w:jc w:val="left"/>
      </w:pPr>
      <w:r>
        <w:rPr>
          <w:rFonts w:hint="eastAsia"/>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jc w:val="left"/>
      </w:pPr>
      <w:r>
        <w:rPr>
          <w:rFonts w:hint="eastAsia"/>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jc w:val="left"/>
      </w:pPr>
      <w:r>
        <w:rPr>
          <w:rFonts w:hint="eastAsia"/>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jc w:val="left"/>
      </w:pPr>
      <w:r>
        <w:rPr>
          <w:rFonts w:hint="eastAsia"/>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jc w:val="left"/>
      </w:pPr>
      <w:r>
        <w:rPr>
          <w:rFonts w:hint="eastAsia"/>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pPr>
    </w:p>
    <w:p>
      <w:pPr>
        <w:ind w:firstLine="420"/>
        <w:jc w:val="left"/>
      </w:pPr>
      <w:r>
        <w:rPr>
          <w:rFonts w:hint="eastAsia"/>
        </w:rPr>
        <w:t>关键词：主成分分析，支持向量机，机器学习，神经网络</w:t>
      </w: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numPr>
          <w:ilvl w:val="0"/>
          <w:numId w:val="1"/>
        </w:numPr>
        <w:jc w:val="center"/>
        <w:rPr>
          <w:b/>
          <w:bCs/>
          <w:sz w:val="28"/>
          <w:szCs w:val="28"/>
        </w:rPr>
      </w:pPr>
      <w:r>
        <w:rPr>
          <w:rFonts w:hint="eastAsia"/>
          <w:b/>
          <w:bCs/>
          <w:sz w:val="28"/>
          <w:szCs w:val="28"/>
        </w:rPr>
        <w:t>问题重述</w:t>
      </w:r>
    </w:p>
    <w:p>
      <w:pPr>
        <w:pStyle w:val="5"/>
        <w:widowControl/>
        <w:ind w:left="420" w:firstLine="0" w:firstLineChars="0"/>
        <w:rPr>
          <w:rFonts w:hint="default" w:asciiTheme="minorEastAsia" w:hAnsiTheme="minorEastAsia" w:eastAsiaTheme="minorEastAsia" w:cstheme="minorEastAsia"/>
        </w:rPr>
      </w:pPr>
      <w:bookmarkStart w:id="0" w:name="_Hlk514427708"/>
      <w:r>
        <w:rPr>
          <w:rFonts w:asciiTheme="minorEastAsia" w:hAnsiTheme="minorEastAsia" w:eastAsiaTheme="minorEastAsia" w:cstheme="minorEastAsia"/>
        </w:rPr>
        <w:t>随着当今国内外贸易活动的日益活跃，赊销的方式越来越流行，这也对保理业务提</w:t>
      </w:r>
    </w:p>
    <w:p>
      <w:pPr>
        <w:pStyle w:val="5"/>
        <w:widowControl/>
        <w:ind w:firstLine="0" w:firstLineChars="0"/>
        <w:rPr>
          <w:rFonts w:hint="default" w:asciiTheme="minorEastAsia" w:hAnsiTheme="minorEastAsia" w:eastAsiaTheme="minorEastAsia" w:cstheme="minorEastAsia"/>
        </w:rPr>
      </w:pPr>
      <w:r>
        <w:rPr>
          <w:rFonts w:asciiTheme="minorEastAsia" w:hAnsiTheme="minorEastAsia" w:eastAsiaTheme="minorEastAsia" w:cstheme="minorEastAsia"/>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5"/>
        <w:widowControl/>
        <w:ind w:firstLineChars="0"/>
        <w:rPr>
          <w:rFonts w:hint="default" w:asciiTheme="minorEastAsia" w:hAnsiTheme="minorEastAsia" w:eastAsiaTheme="minorEastAsia" w:cstheme="minorEastAsia"/>
        </w:rPr>
      </w:pPr>
      <w:r>
        <w:rPr>
          <w:rFonts w:asciiTheme="minorEastAsia" w:hAnsiTheme="minorEastAsia" w:eastAsiaTheme="minorEastAsia" w:cstheme="minorEastAsia"/>
        </w:rPr>
        <w:t>1、根据文件数据，寻找数据规律，建立用来预测客户违约可能性的违约预测模型并用实例验证。</w:t>
      </w:r>
    </w:p>
    <w:p>
      <w:pPr>
        <w:pStyle w:val="5"/>
        <w:widowControl/>
        <w:ind w:firstLineChars="0"/>
        <w:rPr>
          <w:rFonts w:hint="default" w:asciiTheme="minorEastAsia" w:hAnsiTheme="minorEastAsia" w:eastAsiaTheme="minorEastAsia" w:cstheme="minorEastAsia"/>
        </w:rPr>
      </w:pPr>
      <w:r>
        <w:rPr>
          <w:rFonts w:asciiTheme="minorEastAsia" w:hAnsiTheme="minorEastAsia" w:eastAsiaTheme="minorEastAsia" w:cstheme="minorEastAsia"/>
        </w:rPr>
        <w:t>2、根据文件数据，分析所有数据之间的联系，建立用于决策授信额度的授信额度估算模型，并用实例验证。</w:t>
      </w:r>
    </w:p>
    <w:p>
      <w:pPr>
        <w:pStyle w:val="5"/>
        <w:widowControl/>
        <w:ind w:firstLineChars="0"/>
        <w:rPr>
          <w:rFonts w:hint="default" w:asciiTheme="minorEastAsia" w:hAnsiTheme="minorEastAsia" w:eastAsiaTheme="minorEastAsia" w:cstheme="minorEastAsia"/>
        </w:rPr>
      </w:pPr>
      <w:r>
        <w:rPr>
          <w:rFonts w:asciiTheme="minorEastAsia" w:hAnsiTheme="minorEastAsia" w:eastAsiaTheme="minorEastAsia" w:cstheme="minorEastAsia"/>
        </w:rPr>
        <w:t>3、结合生活中实际情况，用户提供的信息存在不完整的可能性。结合参数之间的联系，建立有数据缺失情况下的授信额度估算模型。</w:t>
      </w:r>
    </w:p>
    <w:p>
      <w:pPr>
        <w:pStyle w:val="5"/>
        <w:widowControl/>
        <w:ind w:firstLineChars="0"/>
        <w:rPr>
          <w:rFonts w:hint="default" w:asciiTheme="minorEastAsia" w:hAnsiTheme="minorEastAsia" w:eastAsiaTheme="minorEastAsia" w:cstheme="minorEastAsia"/>
        </w:rPr>
      </w:pPr>
      <w:r>
        <w:rPr>
          <w:rFonts w:asciiTheme="minorEastAsia" w:hAnsiTheme="minorEastAsia" w:eastAsiaTheme="minorEastAsia" w:cstheme="minorEastAsia"/>
        </w:rPr>
        <w:t>4、针对上述三个问题的解答，撰写技术报告，展示建模成果。</w:t>
      </w:r>
    </w:p>
    <w:bookmarkEnd w:id="0"/>
    <w:p>
      <w:pPr>
        <w:rPr>
          <w:b/>
          <w:bCs/>
          <w:sz w:val="28"/>
          <w:szCs w:val="28"/>
        </w:rPr>
      </w:pPr>
    </w:p>
    <w:p>
      <w:pPr>
        <w:numPr>
          <w:ilvl w:val="0"/>
          <w:numId w:val="1"/>
        </w:numPr>
        <w:jc w:val="center"/>
        <w:rPr>
          <w:b/>
          <w:bCs/>
          <w:sz w:val="28"/>
          <w:szCs w:val="28"/>
        </w:rPr>
      </w:pPr>
      <w:r>
        <w:rPr>
          <w:rFonts w:hint="eastAsia"/>
          <w:b/>
          <w:bCs/>
          <w:sz w:val="28"/>
          <w:szCs w:val="28"/>
        </w:rPr>
        <w:t>模型假设</w:t>
      </w:r>
    </w:p>
    <w:p>
      <w:pPr>
        <w:numPr>
          <w:ilvl w:val="0"/>
          <w:numId w:val="2"/>
        </w:numPr>
        <w:ind w:firstLine="420"/>
        <w:rPr>
          <w:szCs w:val="21"/>
        </w:rPr>
      </w:pPr>
      <w:r>
        <w:rPr>
          <w:rFonts w:hint="eastAsia"/>
          <w:szCs w:val="21"/>
        </w:rPr>
        <w:t>对于训练条目，数据越完整，分析出来的模型越真实；对于测试条目，数据越完整，分析出来的结果越合理。</w:t>
      </w:r>
    </w:p>
    <w:p>
      <w:pPr>
        <w:numPr>
          <w:ilvl w:val="0"/>
          <w:numId w:val="2"/>
        </w:numPr>
        <w:ind w:firstLine="420"/>
        <w:rPr>
          <w:szCs w:val="21"/>
        </w:rPr>
      </w:pPr>
      <w:r>
        <w:rPr>
          <w:rFonts w:hint="eastAsia"/>
          <w:szCs w:val="21"/>
        </w:rPr>
        <w:t>根据我们填补缺省值的评价标准，拥有较好填补缺省值性能的填补方法对于数据不完整条目的决策分析所提供的支持越大。</w:t>
      </w:r>
    </w:p>
    <w:p>
      <w:pPr>
        <w:rPr>
          <w:b/>
          <w:bCs/>
          <w:sz w:val="28"/>
          <w:szCs w:val="28"/>
        </w:rPr>
      </w:pPr>
    </w:p>
    <w:p>
      <w:pPr>
        <w:numPr>
          <w:ilvl w:val="0"/>
          <w:numId w:val="1"/>
        </w:numPr>
        <w:jc w:val="center"/>
        <w:rPr>
          <w:b/>
          <w:bCs/>
          <w:sz w:val="28"/>
          <w:szCs w:val="28"/>
        </w:rPr>
      </w:pPr>
      <w:r>
        <w:rPr>
          <w:rFonts w:hint="eastAsia"/>
          <w:b/>
          <w:bCs/>
          <w:sz w:val="28"/>
          <w:szCs w:val="28"/>
        </w:rPr>
        <w:t>符号说明</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421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符号</w:t>
            </w:r>
          </w:p>
        </w:tc>
        <w:tc>
          <w:tcPr>
            <w:tcW w:w="4216" w:type="dxa"/>
          </w:tcPr>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含义</w:t>
            </w:r>
          </w:p>
        </w:tc>
        <w:tc>
          <w:tcPr>
            <w:tcW w:w="2841" w:type="dxa"/>
          </w:tcPr>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position w:val="-10"/>
                <w:sz w:val="28"/>
                <w:szCs w:val="28"/>
                <w:lang w:eastAsia="zh-CN"/>
              </w:rPr>
              <w:object>
                <v:shape id="_x0000_i1025" o:spt="75" type="#_x0000_t75" style="height:17pt;width:13.95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tc>
        <w:tc>
          <w:tcPr>
            <w:tcW w:w="4216" w:type="dxa"/>
          </w:tcPr>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第i号客户</w:t>
            </w:r>
          </w:p>
        </w:tc>
        <w:tc>
          <w:tcPr>
            <w:tcW w:w="2841" w:type="dxa"/>
          </w:tcPr>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position w:val="-12"/>
                <w:sz w:val="28"/>
                <w:szCs w:val="28"/>
                <w:lang w:eastAsia="zh-CN"/>
              </w:rPr>
              <w:object>
                <v:shape id="_x0000_i1028" o:spt="75" alt="" type="#_x0000_t75" style="height:18pt;width:12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6" r:id="rId6">
                  <o:LockedField>false</o:LockedField>
                </o:OLEObject>
              </w:object>
            </w:r>
          </w:p>
        </w:tc>
        <w:tc>
          <w:tcPr>
            <w:tcW w:w="4216" w:type="dxa"/>
          </w:tcPr>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第i号属性</w:t>
            </w:r>
          </w:p>
        </w:tc>
        <w:tc>
          <w:tcPr>
            <w:tcW w:w="2841" w:type="dxa"/>
          </w:tcPr>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vAlign w:val="top"/>
          </w:tcPr>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position w:val="-14"/>
                <w:sz w:val="28"/>
                <w:szCs w:val="28"/>
                <w:lang w:eastAsia="zh-CN"/>
              </w:rPr>
              <w:object>
                <v:shape id="_x0000_i1035" o:spt="75" type="#_x0000_t75" style="height:19pt;width:23pt;" o:ole="t" filled="f" o:preferrelative="t" stroked="f" coordsize="21600,21600">
                  <v:path/>
                  <v:fill on="f" focussize="0,0"/>
                  <v:stroke on="f"/>
                  <v:imagedata r:id="rId9" o:title=""/>
                  <o:lock v:ext="edit" aspectratio="t"/>
                  <w10:wrap type="none"/>
                  <w10:anchorlock/>
                </v:shape>
                <o:OLEObject Type="Embed" ProgID="Equation.KSEE3" ShapeID="_x0000_i1035" DrawAspect="Content" ObjectID="_1468075727" r:id="rId8">
                  <o:LockedField>false</o:LockedField>
                </o:OLEObject>
              </w:object>
            </w:r>
          </w:p>
        </w:tc>
        <w:tc>
          <w:tcPr>
            <w:tcW w:w="4216" w:type="dxa"/>
            <w:vAlign w:val="top"/>
          </w:tcPr>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第i号客户的第j号属性</w:t>
            </w:r>
          </w:p>
        </w:tc>
        <w:tc>
          <w:tcPr>
            <w:tcW w:w="2841" w:type="dxa"/>
            <w:vAlign w:val="top"/>
          </w:tcPr>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vAlign w:val="top"/>
          </w:tcPr>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position w:val="-12"/>
                <w:sz w:val="28"/>
                <w:szCs w:val="28"/>
                <w:lang w:val="en-US" w:eastAsia="zh-CN"/>
              </w:rPr>
              <w:object>
                <v:shape id="_x0000_i1036" o:spt="75" type="#_x0000_t75" style="height:18pt;width:30pt;" o:ole="t" filled="f" o:preferrelative="t" stroked="f" coordsize="21600,21600">
                  <v:path/>
                  <v:fill on="f" focussize="0,0"/>
                  <v:stroke on="f"/>
                  <v:imagedata r:id="rId11" o:title=""/>
                  <o:lock v:ext="edit" aspectratio="t"/>
                  <w10:wrap type="none"/>
                  <w10:anchorlock/>
                </v:shape>
                <o:OLEObject Type="Embed" ProgID="Equation.KSEE3" ShapeID="_x0000_i1036" DrawAspect="Content" ObjectID="_1468075728" r:id="rId10">
                  <o:LockedField>false</o:LockedField>
                </o:OLEObject>
              </w:object>
            </w:r>
          </w:p>
        </w:tc>
        <w:tc>
          <w:tcPr>
            <w:tcW w:w="4216" w:type="dxa"/>
            <w:vAlign w:val="top"/>
          </w:tcPr>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第i号客户是否违约</w:t>
            </w:r>
          </w:p>
        </w:tc>
        <w:tc>
          <w:tcPr>
            <w:tcW w:w="2841" w:type="dxa"/>
            <w:vAlign w:val="top"/>
          </w:tcPr>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vAlign w:val="top"/>
          </w:tcPr>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position w:val="-6"/>
                <w:sz w:val="28"/>
                <w:szCs w:val="28"/>
                <w:lang w:val="en-US" w:eastAsia="zh-CN"/>
              </w:rPr>
              <w:object>
                <v:shape id="_x0000_i1041" o:spt="75" type="#_x0000_t75" style="height:13.95pt;width:23pt;" o:ole="t" filled="f" o:preferrelative="t" stroked="f" coordsize="21600,21600">
                  <v:fill on="f" focussize="0,0"/>
                  <v:stroke on="f"/>
                  <v:imagedata r:id="rId13" o:title=""/>
                  <o:lock v:ext="edit" aspectratio="t"/>
                  <w10:wrap type="none"/>
                  <w10:anchorlock/>
                </v:shape>
                <o:OLEObject Type="Embed" ProgID="Equation.KSEE3" ShapeID="_x0000_i1041" DrawAspect="Content" ObjectID="_1468075729" r:id="rId12">
                  <o:LockedField>false</o:LockedField>
                </o:OLEObject>
              </w:object>
            </w:r>
          </w:p>
        </w:tc>
        <w:tc>
          <w:tcPr>
            <w:tcW w:w="4216" w:type="dxa"/>
            <w:vAlign w:val="top"/>
          </w:tcPr>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总体正确度</w:t>
            </w:r>
          </w:p>
        </w:tc>
        <w:tc>
          <w:tcPr>
            <w:tcW w:w="2841" w:type="dxa"/>
            <w:vAlign w:val="top"/>
          </w:tcPr>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position w:val="-12"/>
                <w:sz w:val="28"/>
                <w:szCs w:val="28"/>
                <w:lang w:eastAsia="zh-CN"/>
              </w:rPr>
              <w:object>
                <v:shape id="_x0000_i1042" o:spt="75" type="#_x0000_t75" style="height:18pt;width:22pt;" o:ole="t" filled="f" o:preferrelative="t" stroked="f" coordsize="21600,21600">
                  <v:fill on="f" focussize="0,0"/>
                  <v:stroke on="f"/>
                  <v:imagedata r:id="rId15" o:title=""/>
                  <o:lock v:ext="edit" aspectratio="t"/>
                  <w10:wrap type="none"/>
                  <w10:anchorlock/>
                </v:shape>
                <o:OLEObject Type="Embed" ProgID="Equation.KSEE3" ShapeID="_x0000_i1042" DrawAspect="Content" ObjectID="_1468075730" r:id="rId14">
                  <o:LockedField>false</o:LockedField>
                </o:OLEObject>
              </w:object>
            </w:r>
          </w:p>
        </w:tc>
        <w:tc>
          <w:tcPr>
            <w:tcW w:w="4216" w:type="dxa"/>
          </w:tcPr>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第i号客户的授信额度</w:t>
            </w:r>
          </w:p>
        </w:tc>
        <w:tc>
          <w:tcPr>
            <w:tcW w:w="2841" w:type="dxa"/>
          </w:tcPr>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rPr>
                <w:rFonts w:hint="eastAsia" w:asciiTheme="minorEastAsia" w:hAnsiTheme="minorEastAsia" w:eastAsiaTheme="minorEastAsia" w:cstheme="minorEastAsia"/>
                <w:b/>
                <w:bCs/>
                <w:sz w:val="28"/>
                <w:szCs w:val="28"/>
              </w:rPr>
            </w:pPr>
            <w:bookmarkStart w:id="2" w:name="_GoBack"/>
            <w:bookmarkEnd w:id="2"/>
          </w:p>
        </w:tc>
        <w:tc>
          <w:tcPr>
            <w:tcW w:w="4216" w:type="dxa"/>
          </w:tcPr>
          <w:p>
            <w:pPr>
              <w:rPr>
                <w:rFonts w:hint="eastAsia" w:asciiTheme="minorEastAsia" w:hAnsiTheme="minorEastAsia" w:eastAsiaTheme="minorEastAsia" w:cstheme="minorEastAsia"/>
                <w:b/>
                <w:bCs/>
                <w:sz w:val="28"/>
                <w:szCs w:val="28"/>
              </w:rPr>
            </w:pPr>
          </w:p>
        </w:tc>
        <w:tc>
          <w:tcPr>
            <w:tcW w:w="2841" w:type="dxa"/>
          </w:tcPr>
          <w:p>
            <w:pPr>
              <w:rPr>
                <w:rFonts w:hint="eastAsia" w:asciiTheme="minorEastAsia" w:hAnsiTheme="minorEastAsia" w:eastAsiaTheme="minorEastAsia" w:cstheme="minorEastAsia"/>
                <w:b/>
                <w:bCs/>
                <w:sz w:val="28"/>
                <w:szCs w:val="28"/>
              </w:rPr>
            </w:pPr>
          </w:p>
        </w:tc>
      </w:tr>
    </w:tbl>
    <w:p>
      <w:pPr>
        <w:rPr>
          <w:rFonts w:hint="eastAsia"/>
          <w:b/>
          <w:bCs/>
          <w:sz w:val="28"/>
          <w:szCs w:val="28"/>
        </w:rPr>
      </w:pPr>
    </w:p>
    <w:p>
      <w:pPr>
        <w:numPr>
          <w:ilvl w:val="0"/>
          <w:numId w:val="1"/>
        </w:numPr>
        <w:jc w:val="center"/>
        <w:rPr>
          <w:b/>
          <w:bCs/>
          <w:sz w:val="28"/>
          <w:szCs w:val="28"/>
        </w:rPr>
      </w:pPr>
      <w:r>
        <w:rPr>
          <w:rFonts w:hint="eastAsia"/>
          <w:b/>
          <w:bCs/>
          <w:sz w:val="28"/>
          <w:szCs w:val="28"/>
        </w:rPr>
        <w:t>问题分析</w:t>
      </w:r>
    </w:p>
    <w:p>
      <w:pPr>
        <w:pBdr>
          <w:bottom w:val="none" w:color="auto" w:sz="0" w:space="0"/>
        </w:pBdr>
        <w:ind w:firstLine="420"/>
        <w:rPr>
          <w:rFonts w:hint="eastAsia"/>
          <w:szCs w:val="21"/>
          <w:lang w:val="en-US" w:eastAsia="zh-CN"/>
        </w:rPr>
      </w:pPr>
      <w:r>
        <w:rPr>
          <w:rFonts w:hint="eastAsia"/>
          <w:szCs w:val="21"/>
        </w:rPr>
        <w:t>针对新客户的放贷决策是典型的分类和回归问题。其核心在于分别针对信息完整和存在数</w:t>
      </w:r>
    </w:p>
    <w:p>
      <w:pPr>
        <w:ind w:firstLine="420"/>
        <w:rPr>
          <w:szCs w:val="21"/>
        </w:rPr>
      </w:pPr>
      <w:r>
        <w:rPr>
          <w:rFonts w:hint="eastAsia"/>
          <w:szCs w:val="21"/>
        </w:rPr>
        <w:t>据残缺的两种客户的现有个人信息和历史违约记录，并结合已有数据集合进行分析，并给出合理的个人信用评价指标体系，对模型进行检验和评估。</w:t>
      </w:r>
    </w:p>
    <w:p>
      <w:pPr>
        <w:ind w:firstLine="420"/>
        <w:rPr>
          <w:szCs w:val="21"/>
        </w:rPr>
      </w:pPr>
      <w:r>
        <w:rPr>
          <w:rFonts w:hint="eastAsia"/>
          <w:szCs w:val="21"/>
        </w:rPr>
        <w:t>为评价决策模型的优劣，考虑从</w:t>
      </w:r>
      <w:bookmarkStart w:id="1" w:name="OLE_LINK1"/>
      <w:r>
        <w:rPr>
          <w:rFonts w:hint="eastAsia"/>
          <w:szCs w:val="21"/>
        </w:rPr>
        <w:t>完整数据情况和缺失数据两种情况</w:t>
      </w:r>
      <w:bookmarkEnd w:id="1"/>
      <w:r>
        <w:rPr>
          <w:rFonts w:hint="eastAsia"/>
          <w:szCs w:val="21"/>
        </w:rPr>
        <w:t>来共同确定评价指标体系。对表格中的整体数据条目划分为以下三类：过去信用记录未知（即</w:t>
      </w:r>
      <w:r>
        <w:rPr>
          <w:rFonts w:hint="eastAsia"/>
        </w:rPr>
        <w:t>最后80个class条目未知</w:t>
      </w:r>
      <w:r>
        <w:rPr>
          <w:rFonts w:hint="eastAsia"/>
          <w:szCs w:val="21"/>
        </w:rPr>
        <w:t>）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ind w:firstLine="420"/>
      </w:pPr>
      <w:r>
        <w:rPr>
          <w:rFonts w:hint="eastAsia"/>
          <w:szCs w:val="21"/>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w:t>
      </w:r>
      <w:r>
        <w:rPr>
          <w:rFonts w:hint="eastAsia"/>
        </w:rPr>
        <w:t>距离超平面距离的大小决定可能性大小的原理计算导出支持向量机不同输入的概率作为客户违约的可能性。</w:t>
      </w:r>
    </w:p>
    <w:p>
      <w:pPr>
        <w:ind w:firstLine="420"/>
      </w:pPr>
      <w:r>
        <w:rPr>
          <w:rFonts w:hint="eastAsia"/>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ind w:firstLine="420"/>
        <w:rPr>
          <w:color w:val="FF0000"/>
        </w:rPr>
      </w:pPr>
      <w:r>
        <w:rPr>
          <w:rFonts w:hint="eastAsia"/>
          <w:color w:val="FF0000"/>
        </w:rPr>
        <w:t>最后，是我们提出的针对缺失值的统一填补算法（如我们采用的热卡算法）在不同缺失情况下的评价体系，并记录在我们的非技术报告中。</w:t>
      </w:r>
    </w:p>
    <w:p>
      <w:pPr>
        <w:numPr>
          <w:ilvl w:val="0"/>
          <w:numId w:val="1"/>
        </w:numPr>
        <w:jc w:val="center"/>
        <w:rPr>
          <w:b/>
          <w:bCs/>
          <w:sz w:val="28"/>
          <w:szCs w:val="28"/>
        </w:rPr>
      </w:pPr>
      <w:r>
        <w:rPr>
          <w:rFonts w:hint="eastAsia"/>
          <w:b/>
          <w:bCs/>
          <w:sz w:val="28"/>
          <w:szCs w:val="28"/>
        </w:rPr>
        <w:t>模型建立与求解</w:t>
      </w:r>
    </w:p>
    <w:p>
      <w:pPr>
        <w:numPr>
          <w:ilvl w:val="0"/>
          <w:numId w:val="1"/>
        </w:numPr>
        <w:jc w:val="center"/>
        <w:rPr>
          <w:b/>
          <w:bCs/>
          <w:sz w:val="28"/>
          <w:szCs w:val="28"/>
        </w:rPr>
      </w:pPr>
      <w:r>
        <w:rPr>
          <w:rFonts w:hint="eastAsia"/>
          <w:b/>
          <w:bCs/>
          <w:sz w:val="28"/>
          <w:szCs w:val="28"/>
        </w:rPr>
        <w:t>模型评价与改进</w:t>
      </w:r>
    </w:p>
    <w:p>
      <w:pPr>
        <w:numPr>
          <w:ilvl w:val="0"/>
          <w:numId w:val="1"/>
        </w:numPr>
        <w:jc w:val="center"/>
        <w:rPr>
          <w:b/>
          <w:bCs/>
          <w:sz w:val="28"/>
          <w:szCs w:val="28"/>
        </w:rPr>
      </w:pPr>
      <w:r>
        <w:rPr>
          <w:rFonts w:hint="eastAsia"/>
          <w:b/>
          <w:bCs/>
          <w:sz w:val="28"/>
          <w:szCs w:val="28"/>
        </w:rPr>
        <w:t>参考文献</w:t>
      </w:r>
    </w:p>
    <w:p>
      <w:pPr>
        <w:numPr>
          <w:ilvl w:val="0"/>
          <w:numId w:val="1"/>
        </w:numPr>
        <w:jc w:val="center"/>
        <w:rPr>
          <w:b/>
          <w:bCs/>
          <w:sz w:val="28"/>
          <w:szCs w:val="28"/>
        </w:rPr>
      </w:pPr>
      <w:r>
        <w:rPr>
          <w:rFonts w:hint="eastAsia"/>
          <w:b/>
          <w:bCs/>
          <w:sz w:val="28"/>
          <w:szCs w:val="28"/>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37D8AEEF"/>
    <w:multiLevelType w:val="singleLevel"/>
    <w:tmpl w:val="37D8AEE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48"/>
    <w:rsid w:val="00425D48"/>
    <w:rsid w:val="00A867C0"/>
    <w:rsid w:val="00B54AAE"/>
    <w:rsid w:val="00CB07AD"/>
    <w:rsid w:val="01DA06D8"/>
    <w:rsid w:val="0312690F"/>
    <w:rsid w:val="05D62F26"/>
    <w:rsid w:val="0C5E1F63"/>
    <w:rsid w:val="0CEE4971"/>
    <w:rsid w:val="0F9A65A2"/>
    <w:rsid w:val="114F7581"/>
    <w:rsid w:val="11917DED"/>
    <w:rsid w:val="18977FC8"/>
    <w:rsid w:val="19330BC6"/>
    <w:rsid w:val="1E3B3E83"/>
    <w:rsid w:val="24C07C3A"/>
    <w:rsid w:val="2B5444B4"/>
    <w:rsid w:val="2CBA37C8"/>
    <w:rsid w:val="316050EA"/>
    <w:rsid w:val="37D3129B"/>
    <w:rsid w:val="38090C89"/>
    <w:rsid w:val="3B634C47"/>
    <w:rsid w:val="405F745A"/>
    <w:rsid w:val="440724D9"/>
    <w:rsid w:val="485316A9"/>
    <w:rsid w:val="50B76E41"/>
    <w:rsid w:val="52A50747"/>
    <w:rsid w:val="5B6B4E21"/>
    <w:rsid w:val="6BCA68D9"/>
    <w:rsid w:val="79CF3B20"/>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msolistparagraph"/>
    <w:basedOn w:val="1"/>
    <w:qFormat/>
    <w:uiPriority w:val="0"/>
    <w:pPr>
      <w:ind w:firstLine="420" w:firstLineChars="200"/>
    </w:pPr>
    <w:rPr>
      <w:rFonts w:hint="eastAsia" w:ascii="等线" w:hAnsi="等线" w:eastAsia="等线" w:cs="Times New Roman"/>
      <w:szCs w:val="22"/>
    </w:rPr>
  </w:style>
  <w:style w:type="character" w:styleId="6">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398</Words>
  <Characters>2272</Characters>
  <Lines>18</Lines>
  <Paragraphs>5</Paragraphs>
  <TotalTime>4</TotalTime>
  <ScaleCrop>false</ScaleCrop>
  <LinksUpToDate>false</LinksUpToDate>
  <CharactersWithSpaces>2665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TOP GUN</cp:lastModifiedBy>
  <dcterms:modified xsi:type="dcterms:W3CDTF">2018-05-18T13:49:30Z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