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6. Common problems and what to do about them (Troubleshooting)</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6.2. Mouse behavior, enabling and disabling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Refer to </w:t>
      </w:r>
      <w:hyperlink r:id="rId8">
        <w:r w:rsidDel="00000000" w:rsidR="00000000" w:rsidRPr="00000000">
          <w:rPr>
            <w:color w:val="0000ee"/>
            <w:u w:val="single"/>
            <w:shd w:fill="auto" w:val="clear"/>
            <w:rtl w:val="0"/>
          </w:rPr>
          <w:t xml:space="preserve">Section 5.3.2</w:t>
        </w:r>
      </w:hyperlink>
      <w:r w:rsidDel="00000000" w:rsidR="00000000" w:rsidRPr="00000000">
        <w:rPr>
          <w:shd w:fill="auto" w:val="clear"/>
          <w:rtl w:val="0"/>
        </w:rPr>
        <w:t xml:space="preserve"> for information on how to enable or disable the mouse inside of Bochs at run-time.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mouse cursor movement speed mostly doesn't match the real movement. This is caused by the variable emulation speed (from the user's point of view) and the relative mouse position data that standard PS/2, serial or USB mice are generating. The alternative is the USB tablet emulation that generates absolute mouse position data. We recommend to use it with the display libraries 'rfb' and 'vncsrv'.</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Common problems and what to do about them (Troubleshooting)</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Text-mode is broken in some ancient DOS program</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textmode-problems.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common-problems.html" TargetMode="External"/><Relationship Id="rId9" Type="http://schemas.openxmlformats.org/officeDocument/2006/relationships/hyperlink" Target="http://docs.google.com/common-problems.html" TargetMode="External"/><Relationship Id="rId5" Type="http://schemas.openxmlformats.org/officeDocument/2006/relationships/styles" Target="styles.xml"/><Relationship Id="rId6" Type="http://schemas.openxmlformats.org/officeDocument/2006/relationships/hyperlink" Target="http://docs.google.com/common-problems.html" TargetMode="External"/><Relationship Id="rId7" Type="http://schemas.openxmlformats.org/officeDocument/2006/relationships/hyperlink" Target="http://docs.google.com/textmode-problems.html" TargetMode="External"/><Relationship Id="rId8" Type="http://schemas.openxmlformats.org/officeDocument/2006/relationships/hyperlink" Target="http://docs.google.com/textconfig.html#HEADER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