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pqqoirlu5sgw" w:id="0"/>
      <w:bookmarkEnd w:id="0"/>
      <w:r w:rsidDel="00000000" w:rsidR="00000000" w:rsidRPr="00000000">
        <w:rPr>
          <w:rtl w:val="0"/>
        </w:rPr>
        <w:t xml:space="preserve">Low-Frequency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i5ppt5u0q8nz" w:id="1"/>
      <w:bookmarkEnd w:id="1"/>
      <w:r w:rsidDel="00000000" w:rsidR="00000000" w:rsidRPr="00000000">
        <w:rPr>
          <w:rtl w:val="0"/>
        </w:rPr>
        <w:t xml:space="preserve">🧬 What is Low-Frequency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Low-frequency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consists of words that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rarely used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everyday language. These words are typically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domain-specific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archaic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technical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literary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are usually known only by specialists or encountered in advanced reading materials.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62mi3rtfzruk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82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6920"/>
        <w:tblGridChange w:id="0">
          <w:tblGrid>
            <w:gridCol w:w="2330"/>
            <w:gridCol w:w="69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Mostly reading and writing (less so listening/speaking)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Found in literature, academic writing, legal/technical texts, or rare contexts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long, abstract, or very specific in meaning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Development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Acquired through higher education, specialized reading, or research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Importance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Crucial for advanced comprehension and precise expression in specific fields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do7wa1wo9hk" w:id="3"/>
      <w:bookmarkEnd w:id="3"/>
      <w:r w:rsidDel="00000000" w:rsidR="00000000" w:rsidRPr="00000000">
        <w:rPr>
          <w:rtl w:val="0"/>
        </w:rPr>
        <w:t xml:space="preserve">🧠 Examples: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4835"/>
        <w:tblGridChange w:id="0">
          <w:tblGrid>
            <w:gridCol w:w="2315"/>
            <w:gridCol w:w="48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photosynthesis, jurisprudence, neurotransmitter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Literary/Archaic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thou, erstwhile, bequeath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Advanced Academic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synthesize, juxtapose, extrapolate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Specialized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quark (physics), sonnet (poetry), quorum (law)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i0bc5to1bh5c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Academics and researchers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Writers and poets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Professionals in specialized fields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Advanced language learners</w:t>
        <w:br w:type="textWrapping"/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before="280" w:lineRule="auto"/>
        <w:rPr/>
      </w:pPr>
      <w:bookmarkStart w:colFirst="0" w:colLast="0" w:name="_f2juu5mv06ko" w:id="5"/>
      <w:bookmarkEnd w:id="5"/>
      <w:r w:rsidDel="00000000" w:rsidR="00000000" w:rsidRPr="00000000">
        <w:rPr>
          <w:rtl w:val="0"/>
        </w:rPr>
        <w:t xml:space="preserve">📌 Related Vocabulary Types: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2780"/>
        <w:gridCol w:w="3290"/>
        <w:tblGridChange w:id="0">
          <w:tblGrid>
            <w:gridCol w:w="2945"/>
            <w:gridCol w:w="2780"/>
            <w:gridCol w:w="32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Low-Frequency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Rare/specialized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“Photosynthesis,” “equanimity”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Common/daily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“Run,” “the,” “good”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Formal academic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“Analyze,” “assumption”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Technical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Field-specific terminology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“Torque,” “molecule”</w:t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