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4vqcgq1kk2yf" w:id="0"/>
      <w:bookmarkEnd w:id="0"/>
      <w:r w:rsidDel="00000000" w:rsidR="00000000" w:rsidRPr="00000000">
        <w:rPr>
          <w:rtl w:val="0"/>
        </w:rPr>
        <w:t xml:space="preserve">Sight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9ox6h691hhgc" w:id="1"/>
      <w:bookmarkEnd w:id="1"/>
      <w:r w:rsidDel="00000000" w:rsidR="00000000" w:rsidRPr="00000000">
        <w:rPr>
          <w:rtl w:val="0"/>
        </w:rPr>
        <w:t xml:space="preserve">👁️‍🗨️ What is Sight Vocabulary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Sight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words that a person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recognize and read instantly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without needing to sound them out or analyze them. These are typically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high-frequency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are critical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fluent reading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 in early literacy development.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7adb5mvv5cy9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5"/>
        <w:gridCol w:w="5045"/>
        <w:tblGridChange w:id="0">
          <w:tblGrid>
            <w:gridCol w:w="2435"/>
            <w:gridCol w:w="50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Reading fluency and word recognition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Daily reading: books, signs, instructions, websites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Learning 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Developed early, especially in beginner readers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Development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Through repeated exposure and memorization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irregular in spelling or not easily decodable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n4a0g3x6usze" w:id="3"/>
      <w:bookmarkEnd w:id="3"/>
      <w:r w:rsidDel="00000000" w:rsidR="00000000" w:rsidRPr="00000000">
        <w:rPr>
          <w:rtl w:val="0"/>
        </w:rPr>
        <w:t xml:space="preserve">🧠 Examples: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9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3020"/>
        <w:tblGridChange w:id="0">
          <w:tblGrid>
            <w:gridCol w:w="1910"/>
            <w:gridCol w:w="30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High-Frequency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the, said, was, you, are,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Irregular Words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enough, through, could, does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 Words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and, in, to, for, of, 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📌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Many sight words come from Dolch or Fry word lists, used in early reading instruction.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r42hq6ua6nvy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Young readers (especially K–3)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Struggling readers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ESL learners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Educators and reading specialists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n2er4sdmu1fm" w:id="5"/>
      <w:bookmarkEnd w:id="5"/>
      <w:r w:rsidDel="00000000" w:rsidR="00000000" w:rsidRPr="00000000">
        <w:rPr>
          <w:rtl w:val="0"/>
        </w:rPr>
        <w:t xml:space="preserve">📌 Related Vocabulary Types: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6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3425"/>
        <w:gridCol w:w="2315"/>
        <w:tblGridChange w:id="0">
          <w:tblGrid>
            <w:gridCol w:w="2945"/>
            <w:gridCol w:w="3425"/>
            <w:gridCol w:w="23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Sight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Instantly recognized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“You are here.”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Listening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understood by hearing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“Whisper,” “danger”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Reading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recognized during reading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“Machine,” “explain”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High-Frequency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 commonly used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“Go,” “and,” “want”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