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eyhjtaimraby" w:id="0"/>
      <w:bookmarkEnd w:id="0"/>
      <w:r w:rsidDel="00000000" w:rsidR="00000000" w:rsidRPr="00000000">
        <w:rPr>
          <w:rtl w:val="0"/>
        </w:rPr>
        <w:t xml:space="preserve">Controlled Vocabulary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m4skd3twfv04" w:id="1"/>
      <w:bookmarkEnd w:id="1"/>
      <w:r w:rsidDel="00000000" w:rsidR="00000000" w:rsidRPr="00000000">
        <w:rPr>
          <w:rtl w:val="0"/>
        </w:rPr>
        <w:t xml:space="preserve">🧾 What is Controlled Vocabulary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Controlled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predefined, standardized list of terms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to ensure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consistency and accuracy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labeling, classifying, or retrieving information—especially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information systems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libraries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databases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technical fields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z57wrmrf7rb0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7565"/>
        <w:tblGridChange w:id="0">
          <w:tblGrid>
            <w:gridCol w:w="1685"/>
            <w:gridCol w:w="75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Ensures uniform usage of terms for indexing, searching, or categorizing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hierarchical or relational (may include synonyms, broader/narrower terms)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Control 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 – terms are approved, fixed, and curated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 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Libraries, metadata systems, databases, thesauri, scientific classification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before="280" w:lineRule="auto"/>
        <w:rPr/>
      </w:pPr>
      <w:bookmarkStart w:colFirst="0" w:colLast="0" w:name="_y7x6yid7gg7x" w:id="3"/>
      <w:bookmarkEnd w:id="3"/>
      <w:r w:rsidDel="00000000" w:rsidR="00000000" w:rsidRPr="00000000">
        <w:rPr>
          <w:rtl w:val="0"/>
        </w:rPr>
        <w:t xml:space="preserve">🧠 Examples: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304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7415"/>
        <w:tblGridChange w:id="0">
          <w:tblGrid>
            <w:gridCol w:w="1835"/>
            <w:gridCol w:w="74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Controlled Vocabulary Examples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Library Science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Library of Congress Subject Headings (LCSH)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Dewey Decimal Classification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Medicine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MeSH (Medical Subject Headings)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Archives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Art &amp; Architecture Thesaurus (AAT)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ERIC Thesaurus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Dublin Core Metadata Terms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ISO standards for terminology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📌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Example: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Instead of allowing both "car" and "automobile," a controlled vocabulary system might accept only "automobile" for indexing.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before="280" w:lineRule="auto"/>
        <w:rPr/>
      </w:pPr>
      <w:bookmarkStart w:colFirst="0" w:colLast="0" w:name="_275mhe6hwoi2" w:id="4"/>
      <w:bookmarkEnd w:id="4"/>
      <w:r w:rsidDel="00000000" w:rsidR="00000000" w:rsidRPr="00000000">
        <w:rPr>
          <w:rtl w:val="0"/>
        </w:rPr>
        <w:t xml:space="preserve">👤 Who Uses It?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Librarians and archivists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Database managers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Information scientists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Researchers in technical and academic fields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Software developers (semantic web, AI systems)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before="280" w:lineRule="auto"/>
        <w:rPr/>
      </w:pPr>
      <w:bookmarkStart w:colFirst="0" w:colLast="0" w:name="_sae4t0f6w119" w:id="5"/>
      <w:bookmarkEnd w:id="5"/>
      <w:r w:rsidDel="00000000" w:rsidR="00000000" w:rsidRPr="00000000">
        <w:rPr>
          <w:rtl w:val="0"/>
        </w:rPr>
        <w:t xml:space="preserve">📌 Related Vocabulary Types: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780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36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2.2929936305736"/>
        <w:gridCol w:w="2687.770700636943"/>
        <w:gridCol w:w="3909.9363057324845"/>
        <w:tblGridChange w:id="0">
          <w:tblGrid>
            <w:gridCol w:w="2762.2929936305736"/>
            <w:gridCol w:w="2687.770700636943"/>
            <w:gridCol w:w="3909.93630573248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Controlled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Standardized term set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“Climate change” (not “global warming”)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Technical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Field-specific terms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“Osmosis,” “algorithm”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Academic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Scholarly and formal terms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“Analyze,” “evaluate”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High-Frequency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Everyday core 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“Have,” “go,” “get”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