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7ul10p5hjj0j" w:id="0"/>
      <w:bookmarkEnd w:id="0"/>
      <w:r w:rsidDel="00000000" w:rsidR="00000000" w:rsidRPr="00000000">
        <w:rPr>
          <w:rtl w:val="0"/>
        </w:rPr>
        <w:t xml:space="preserve">Core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h8o77qvh6knq" w:id="1"/>
      <w:bookmarkEnd w:id="1"/>
      <w:r w:rsidDel="00000000" w:rsidR="00000000" w:rsidRPr="00000000">
        <w:rPr>
          <w:rtl w:val="0"/>
        </w:rPr>
        <w:t xml:space="preserve">🧱 What is Core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consists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small set of high-utility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frequently used across all contexts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are essential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basic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These words cover a wide range of meanings and functions, and they make up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foundation of both spoken and written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jrvzsrkmw8qh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20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7370"/>
        <w:tblGridChange w:id="0">
          <w:tblGrid>
            <w:gridCol w:w="1880"/>
            <w:gridCol w:w="73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 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Extremely high – used across topics, settings, and age groups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Foundational for expressing basic ideas and building more complex sentences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Includes pronouns, verbs, prepositions, common nouns, adjectives, etc.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Taught early in language learning and AAC (Augmentative and Alternative Communication)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Covers everyday situations, emotions, actions, descriptions, questions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v7yibzynz61k" w:id="3"/>
      <w:bookmarkEnd w:id="3"/>
      <w:r w:rsidDel="00000000" w:rsidR="00000000" w:rsidRPr="00000000">
        <w:rPr>
          <w:rtl w:val="0"/>
        </w:rPr>
        <w:t xml:space="preserve">🧠 Examples of Core Vocabulary Words: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86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3035"/>
        <w:tblGridChange w:id="0">
          <w:tblGrid>
            <w:gridCol w:w="1820"/>
            <w:gridCol w:w="3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Pronouns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I, you, it, 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Verbs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go, want, have, do, make, 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in, on, at, to, with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big, good, hot, cold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thing, people, time, 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Others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more, all, no, yes, some, not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Core vocabulary often overlaps with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high-frequency vocabulary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but it emphasizes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functionality and versatility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over mere frequency.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cbb3ecpwfmq4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Early language learners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ESL/EFL students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Children and emergent readers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AAC users (e.g., speech-generating devices)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Curriculum designers and teachers</w:t>
        <w:br w:type="textWrapping"/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80" w:lineRule="auto"/>
        <w:rPr/>
      </w:pPr>
      <w:bookmarkStart w:colFirst="0" w:colLast="0" w:name="_cdl56dlqryfw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3035"/>
        <w:gridCol w:w="3155"/>
        <w:tblGridChange w:id="0">
          <w:tblGrid>
            <w:gridCol w:w="2945"/>
            <w:gridCol w:w="3035"/>
            <w:gridCol w:w="31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Core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 versatile and functional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“Go,” “want,” “you”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 commonly seen/heard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“The,” “is,” “at”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Sight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Instantly recognized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“Said,” “are,” “come”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School and study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“Analyze,” “hypothesis”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Controlled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Predefined technical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“Automobile” instead of “car”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