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7jpfeqtmk1jc" w:id="0"/>
      <w:bookmarkEnd w:id="0"/>
      <w:r w:rsidDel="00000000" w:rsidR="00000000" w:rsidRPr="00000000">
        <w:rPr>
          <w:rtl w:val="0"/>
        </w:rPr>
        <w:t xml:space="preserve">Types of Phrases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6289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70"/>
        <w:gridCol w:w="1550"/>
        <w:gridCol w:w="2360"/>
        <w:gridCol w:w="2150"/>
        <w:tblGridChange w:id="0">
          <w:tblGrid>
            <w:gridCol w:w="1970"/>
            <w:gridCol w:w="1550"/>
            <w:gridCol w:w="2360"/>
            <w:gridCol w:w="21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Phrase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Head 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Functions 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Noun 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The old red car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Verb 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Verb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Predicate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has been singing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Adjective 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Adjective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Modifies a noun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full of energy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Adverb 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Adverb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Modifies verb/adj/adv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with great care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Prepositional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Preposition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Adj/Adv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under the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Gerund 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Gerund (-ing)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Reading a novel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Infinitive 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Infinitive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Noun/Adj/Adv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To get a good grade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