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cnxwr50f6dq" w:id="0"/>
      <w:bookmarkEnd w:id="0"/>
      <w:r w:rsidDel="00000000" w:rsidR="00000000" w:rsidRPr="00000000">
        <w:rPr>
          <w:rtl w:val="0"/>
        </w:rPr>
        <w:t xml:space="preserve">Types of Affixes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57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90.740354535975"/>
        <w:gridCol w:w="1864.191866527633"/>
        <w:gridCol w:w="2976.8508863399375"/>
        <w:gridCol w:w="3328.216892596455"/>
        <w:tblGridChange w:id="0">
          <w:tblGrid>
            <w:gridCol w:w="1190.740354535975"/>
            <w:gridCol w:w="1864.191866527633"/>
            <w:gridCol w:w="2976.8508863399375"/>
            <w:gridCol w:w="3328.2168925964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Placement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(English/Arabic)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Prefix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Before root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un-happy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Added at the beginning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Suffix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After root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help-ful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Added at the end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Infix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Inside root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fan-bloody-tastic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Inserted within the root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Circumfix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Around root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ge-lieb-t (German)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Appears on both sides of the root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Transfix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Interleaved within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k-a-t-a-b, m-a-k-t-u-b (Arabic)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Vowel pattern inserted through root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