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yjflc62otqc3" w:id="0"/>
      <w:bookmarkEnd w:id="0"/>
      <w:r w:rsidDel="00000000" w:rsidR="00000000" w:rsidRPr="00000000">
        <w:rPr>
          <w:rtl w:val="0"/>
        </w:rPr>
        <w:t xml:space="preserve">Types of Lexicons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521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44.210526315789"/>
        <w:gridCol w:w="4184.88038277512"/>
        <w:gridCol w:w="2930.9090909090905"/>
        <w:tblGridChange w:id="0">
          <w:tblGrid>
            <w:gridCol w:w="2244.210526315789"/>
            <w:gridCol w:w="4184.88038277512"/>
            <w:gridCol w:w="2930.9090909090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Usage Field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Mental Lexicon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Internal, mental store of words and meanings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Psycholinguistics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Theoretical Lexicon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Formal linguistic descriptions (phonology, syntax, semantics)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Linguistics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Computational Lexicon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Machine-readable database for NLP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AI, NLP, Corpus Linguistics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Lexical Database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Digitally organized dictionary or word list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Digital dictionaries, tools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Domain-Specific Lexicon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Specialized vocabulary for a specific field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Law, Medicine, Technology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General Lexicon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Broad, everyday vocabulary used across contexts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Daily communication, general usage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Pedagogical Lexicon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Core vocabulary designed for language learners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Language education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Morphological Lexicon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Roots, affixes, and inflectional forms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Morphology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Dictionary Lexicon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Standardized, published collection of word definitions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Lexicography, education, reference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Specialized Lexicon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Highly specific terminology tied to expert knowledge domains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Academic, technical, professional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