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on4irysku24o" w:id="0"/>
      <w:bookmarkEnd w:id="0"/>
      <w:r w:rsidDel="00000000" w:rsidR="00000000" w:rsidRPr="00000000">
        <w:rPr>
          <w:rtl w:val="0"/>
        </w:rPr>
        <w:t xml:space="preserve">Black-Box Techniques 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4aehlckv91vs" w:id="1"/>
      <w:bookmarkEnd w:id="1"/>
      <w:r w:rsidDel="00000000" w:rsidR="00000000" w:rsidRPr="00000000">
        <w:rPr>
          <w:rtl w:val="0"/>
        </w:rPr>
        <w:t xml:space="preserve">What is Black-Box Techniques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Black-Box Techniques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design methods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you test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system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without looking at the internal code or structure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You focus only on: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the system should do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(based on requirements/specifications)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b w:val="1"/>
          <w:rtl w:val="0"/>
        </w:rPr>
        <w:t xml:space="preserve">Inputs → Outputs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(cause → effect)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It’s called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black box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the “inside” (code logic) is invisible to the tester — you just know what goes in and what should come out.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ak9f5hy5rnz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Key Points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Based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requirements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user expectations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Used 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test levels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(unit, integration, system, acceptance).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Best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functional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Tester does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need programming knowledge.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ulqsqg9p9uvg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Main Black-Box Techniques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4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4.394904458599"/>
        <w:gridCol w:w="2821.9108280254777"/>
        <w:gridCol w:w="4103.6942675159235"/>
        <w:tblGridChange w:id="0">
          <w:tblGrid>
            <w:gridCol w:w="2434.394904458599"/>
            <w:gridCol w:w="2821.9108280254777"/>
            <w:gridCol w:w="4103.69426751592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Simple 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Equivalence Partitioning (EP)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Group inputs that should behave the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 age input 18–60: test one value from each group (e.g., 17, 30, 61).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Boundary Value Analysis (BVA)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 on edge values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If max transfer is $10,000: test $9,999, $10,000, $10,001.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Decision Table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Handle combinations of conditions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 loan approval: income level × credit score.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State Transition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Check system behavior in different 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ATM: "Card Inserted" → "Enter PIN" → "Select Transaction".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Use Case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Test real-world user flows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Buying an item online: Search → Add to Cart → Checkout.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yn4qaj7kvlv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Real-World Example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Feature: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Online Shopping Checkout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Requirement: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“The system shall allow checkout with Visa, MasterCard, or PayPal.”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EP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Test one valid Visa card, one MasterCard, one PayPal account, and one invalid payment method.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BVA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Test cart totals at $0, $1, and just above $500 limit.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Decision Table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Combine “payment method” × “shipping method” to ensure all combinations work.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