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s71pmujprzg" w:id="0"/>
      <w:bookmarkEnd w:id="0"/>
      <w:r w:rsidDel="00000000" w:rsidR="00000000" w:rsidRPr="00000000">
        <w:rPr>
          <w:rtl w:val="0"/>
        </w:rPr>
        <w:t xml:space="preserve">Head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pcfr6et4ks9" w:id="1"/>
      <w:bookmarkEnd w:id="1"/>
      <w:r w:rsidDel="00000000" w:rsidR="00000000" w:rsidRPr="00000000">
        <w:rPr>
          <w:rtl w:val="0"/>
        </w:rPr>
        <w:t xml:space="preserve">🔹 What is Head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grammar,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central or core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determines the phrase’s grammatical 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controls its syntactic 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sentence.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🧠 Every phrase has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the phrase takes its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name and 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it.</w:t>
        <w:br w:type="textWrapping"/>
        <w:t xml:space="preserve"> For example, in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the head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8v587t6lx2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General Structure of Phrases: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1415"/>
        <w:gridCol w:w="5015"/>
        <w:tblGridChange w:id="0">
          <w:tblGrid>
            <w:gridCol w:w="2690"/>
            <w:gridCol w:w="1415"/>
            <w:gridCol w:w="5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Phrase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Head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Phrase (NP)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[The tall man]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here. – “man” is the head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 Phrase (VP)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[has been working]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– “working” is the head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 Phrase (AdjP)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are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[very happy]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– “happy” is the head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Adverb Phrase (AdvP)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left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[quite suddenly]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– “suddenly” is the head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Prepositional Phrase (PP)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[Under the table]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– “under” is the head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cma6m57149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Function of the Head: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6095"/>
        <w:tblGridChange w:id="0">
          <w:tblGrid>
            <w:gridCol w:w="3035"/>
            <w:gridCol w:w="6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Determines phrase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phrase is labeled by its head (NP, VP, AdjP,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Controls 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Subject-verb or determiner-noun agreement depends on head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Determines grammatical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 subject/object roles,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head noun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carries the function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be replaced or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head alone often can substitute for the whole phrase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7jxjunoa8s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Examples by Phrase Type: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8pbhol0g9cy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Noun Phrase (NP)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clever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boy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solved the puzzle.</w:t>
        <w:br w:type="textWrapping"/>
        <w:t xml:space="preserve">  → “boy” is the head; the phrase is a noun phrase.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a9vlpvk68hg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Verb Phrase (VP)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is singing loudly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.</w:t>
        <w:br w:type="textWrapping"/>
        <w:t xml:space="preserve">  → “singing” is the head; auxiliary verbs help complete the VP.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1ec9zu5myjp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Adjective Phrase (AdjP)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That’s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very unusual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.</w:t>
        <w:br w:type="textWrapping"/>
        <w:t xml:space="preserve">  → “unusual” is the head; “very” is a modifier.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vylqhv65aq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Adverb Phrase (AdvP)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 ran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too fast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.</w:t>
        <w:br w:type="textWrapping"/>
        <w:t xml:space="preserve">  → “fast” is the head; “too” modifies it.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bcqvkgk2od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Prepositional Phrase (PP)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 hid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behind the curtain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.</w:t>
        <w:br w:type="textWrapping"/>
        <w:t xml:space="preserve">  → “behind” is the head (preposition); “the curtain” is the complement.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8semg7016e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Head vs. Modifier vs. Complement: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57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8.8807912545549"/>
        <w:gridCol w:w="2051.3066111400312"/>
        <w:gridCol w:w="2007.4544508068716"/>
        <w:gridCol w:w="4112.358146798542"/>
        <w:tblGridChange w:id="0">
          <w:tblGrid>
            <w:gridCol w:w="1188.8807912545549"/>
            <w:gridCol w:w="2051.3066111400312"/>
            <w:gridCol w:w="2007.4544508068716"/>
            <w:gridCol w:w="4112.3581467985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Central word of 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Adds descriptive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Completes meaning of head (required)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Required?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Often required (depending on the head)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“the tall boy”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Tall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modifies “boy”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That you were late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“aware that you were late”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ck5q5i8dbg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Visual Breakdown: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Noun Phrase Example: “The extremely tired little girl”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</w:rPr>
        <w:drawing>
          <wp:inline distB="114300" distT="114300" distL="114300" distR="114300">
            <wp:extent cx="5943600" cy="158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355"/>
        <w:tblGridChange w:id="0">
          <w:tblGrid>
            <w:gridCol w:w="194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Determiner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“Extremely tired”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Modifiers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“Little”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“Girl”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Head noun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f7ratyetxq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Summary: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most important word in a phrase.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determines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phrase type,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governs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grammatical agreement,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anchors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structure.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 phrases — NP, VP, AdjP, AdvP, PP — have heads.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Heads can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expanded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modifiers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complements.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