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gywff5tvrpp" w:id="0"/>
      <w:bookmarkEnd w:id="0"/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emp5xgn7wny" w:id="1"/>
      <w:bookmarkEnd w:id="1"/>
      <w:r w:rsidDel="00000000" w:rsidR="00000000" w:rsidRPr="00000000">
        <w:rPr>
          <w:rtl w:val="0"/>
        </w:rPr>
        <w:t xml:space="preserve">🔹 What is Subject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topic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sentence—it tells us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 or what the sentence is 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usually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performs the 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verb or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entity being described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k4hq6j4puh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Core Characteristics of the Subject: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6440"/>
        <w:tblGridChange w:id="0">
          <w:tblGrid>
            <w:gridCol w:w="2810"/>
            <w:gridCol w:w="6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Usually a noun or pronoun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subject is typically a noun phrase (can also be a clause or gerund)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Occurs before the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most declarative sentences in English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Agrees with the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person and number (e.g.,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She walks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They walk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be implicit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imperatives (e.g.,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Sit down!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subject is "you" implied)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pon4z12yyd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Types of Subjects: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.3503184713377"/>
        <w:gridCol w:w="4640.254777070064"/>
        <w:gridCol w:w="2434.394904458599"/>
        <w:tblGridChange w:id="0">
          <w:tblGrid>
            <w:gridCol w:w="2285.3503184713377"/>
            <w:gridCol w:w="4640.254777070064"/>
            <w:gridCol w:w="2434.3949044585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Simple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main noun or pronoun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Birds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fly.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Complete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simple subject + all modifiers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 little brown birds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fly away.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or more subjects joined by a conjunction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Tom and Jerry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are friends.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Implied (Elliptical)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Not explicitly stated, often in commands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(You) Be quiet.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Delayed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Postponed subject after the verb, with a placeholder like "there" or "it"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a book on the 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Expletive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"It" or "There" used as syntactic placeholders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raining. /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are many.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Nominal Clause as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clause acting as the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you said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is true.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Gerund Phrase as 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gerund functioning as the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Reading books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helps you learn.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wygxhu887x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Subject in Sentence Structure: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a basic sentence, the subject fits into this pattern: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 + Predicate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🔹 Example: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slept.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Running fast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helps.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late.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hzel351ui4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Subject-Verb Agreement Examples: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3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755"/>
        <w:gridCol w:w="2045"/>
        <w:tblGridChange w:id="0">
          <w:tblGrid>
            <w:gridCol w:w="1115"/>
            <w:gridCol w:w="75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Correct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dog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The dog barks.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dogs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The dogs bark.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He is here.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They are here.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wbfeb18ut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Subject vs. Other Functions: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4325"/>
        <w:gridCol w:w="1970"/>
        <w:tblGridChange w:id="0">
          <w:tblGrid>
            <w:gridCol w:w="1550"/>
            <w:gridCol w:w="432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Performs or receives the verb's 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 boy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laughed.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Receives the action of the 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met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 boy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Renames or describes the subject or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boy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smart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70pfk6wxsw8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📝 Summary: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core grammatical 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indicating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topic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sentence.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can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implied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Subjects may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gerunds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even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Understanding subject types is key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correct verb agreement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clause structure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 clarity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