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i60edkoaocm" w:id="0"/>
      <w:bookmarkEnd w:id="0"/>
      <w:r w:rsidDel="00000000" w:rsidR="00000000" w:rsidRPr="00000000">
        <w:rPr>
          <w:rtl w:val="0"/>
        </w:rPr>
        <w:t xml:space="preserve">Non-Standard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apb5ztorkk1" w:id="1"/>
      <w:bookmarkEnd w:id="1"/>
      <w:r w:rsidDel="00000000" w:rsidR="00000000" w:rsidRPr="00000000">
        <w:rPr>
          <w:rtl w:val="0"/>
        </w:rPr>
        <w:t xml:space="preserve">📘 What is Non-Standard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Non-standard terminology refers to terms that deviate from officially recognized, regulated, or widely accepted vocabulary within a particular field or language. These terms may arise from informal use, regional variations, slang, outdated usage, or miscommunication.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5zauu97rkakd" w:id="2"/>
      <w:bookmarkEnd w:id="2"/>
      <w:r w:rsidDel="00000000" w:rsidR="00000000" w:rsidRPr="00000000">
        <w:rPr>
          <w:rtl w:val="0"/>
        </w:rPr>
        <w:t xml:space="preserve">🧩 Key Characteristics: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920"/>
        <w:tblGridChange w:id="0">
          <w:tblGrid>
            <w:gridCol w:w="2330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or inconsistent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Local, unofficial, or casual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accepted in official or academic standards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come from slang, user innovation, mistranslation, or regional differences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“Heartburn” used in place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acid reflux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(medicine) - “Hack” for “workaround” (tech)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Problems It May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Misunderstandings, lack of clarity, poor interoperability in technical fields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Contrast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Standardized Terminology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which has clear, official definitions and usage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vutw7bi4wuzu" w:id="3"/>
      <w:bookmarkEnd w:id="3"/>
      <w:r w:rsidDel="00000000" w:rsidR="00000000" w:rsidRPr="00000000">
        <w:rPr>
          <w:rtl w:val="0"/>
        </w:rPr>
        <w:t xml:space="preserve">🧠 Who Uses It?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General public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Non-specialists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Informal practitioners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 before being trained in standard terminology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k1e5pq5zxwf1" w:id="4"/>
      <w:bookmarkEnd w:id="4"/>
      <w:r w:rsidDel="00000000" w:rsidR="00000000" w:rsidRPr="00000000">
        <w:rPr>
          <w:rtl w:val="0"/>
        </w:rPr>
        <w:t xml:space="preserve">🧪 In Practice: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00"/>
        <w:gridCol w:w="3290"/>
        <w:tblGridChange w:id="0">
          <w:tblGrid>
            <w:gridCol w:w="1400"/>
            <w:gridCol w:w="230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Non-Standard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“Nerves shot”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Generalized anxiety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“Glitch”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Minor software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“Thingy”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Component or part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“Double negative”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Negative concord (formal term)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