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4D2567" w14:textId="77777777" w:rsidR="009D0AEB" w:rsidRDefault="009D0AEB">
      <w:pPr>
        <w:pStyle w:val="Heading1"/>
      </w:pPr>
      <w:bookmarkStart w:id="0" w:name="_yi2wov3i49ic" w:colFirst="0" w:colLast="0"/>
      <w:bookmarkEnd w:id="0"/>
      <w:r>
        <w:t>Technical vs Lay Synonyms</w:t>
      </w:r>
    </w:p>
    <w:p w14:paraId="53A0BBC1" w14:textId="77777777" w:rsidR="009D0AEB" w:rsidRDefault="009D0AEB">
      <w:pPr>
        <w:pStyle w:val="Heading2"/>
      </w:pPr>
      <w:bookmarkStart w:id="1" w:name="_w67wa4pzfz1n" w:colFirst="0" w:colLast="0"/>
      <w:bookmarkEnd w:id="1"/>
      <w:r>
        <w:t>🔹 What is Technical vs Lay Synonyms</w:t>
      </w:r>
    </w:p>
    <w:p w14:paraId="584FC510" w14:textId="77777777" w:rsidR="009D0AEB" w:rsidRDefault="009D0AEB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[7/30/2025]</w:t>
      </w:r>
    </w:p>
    <w:p w14:paraId="0747CA83" w14:textId="77777777" w:rsidR="009D0AEB" w:rsidRDefault="009D0AEB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Technical synonyms</w:t>
      </w:r>
      <w:r>
        <w:rPr>
          <w:rFonts w:ascii="Roboto Mono" w:eastAsia="Roboto Mono" w:hAnsi="Roboto Mono" w:cs="Roboto Mono"/>
        </w:rPr>
        <w:t xml:space="preserve"> and </w:t>
      </w:r>
      <w:r>
        <w:rPr>
          <w:rFonts w:ascii="Roboto Mono" w:eastAsia="Roboto Mono" w:hAnsi="Roboto Mono" w:cs="Roboto Mono"/>
          <w:b/>
        </w:rPr>
        <w:t>lay synonyms</w:t>
      </w:r>
      <w:r>
        <w:rPr>
          <w:rFonts w:ascii="Roboto Mono" w:eastAsia="Roboto Mono" w:hAnsi="Roboto Mono" w:cs="Roboto Mono"/>
        </w:rPr>
        <w:t xml:space="preserve"> are pairs of words that describe the same or similar concept but differ in </w:t>
      </w:r>
      <w:r>
        <w:rPr>
          <w:rFonts w:ascii="Roboto Mono" w:eastAsia="Roboto Mono" w:hAnsi="Roboto Mono" w:cs="Roboto Mono"/>
          <w:b/>
        </w:rPr>
        <w:t>specialization</w:t>
      </w:r>
      <w:r>
        <w:rPr>
          <w:rFonts w:ascii="Roboto Mono" w:eastAsia="Roboto Mono" w:hAnsi="Roboto Mono" w:cs="Roboto Mono"/>
        </w:rPr>
        <w:t xml:space="preserve"> or </w:t>
      </w:r>
      <w:r>
        <w:rPr>
          <w:rFonts w:ascii="Roboto Mono" w:eastAsia="Roboto Mono" w:hAnsi="Roboto Mono" w:cs="Roboto Mono"/>
          <w:b/>
        </w:rPr>
        <w:t>audience</w:t>
      </w:r>
      <w:r>
        <w:rPr>
          <w:rFonts w:ascii="Roboto Mono" w:eastAsia="Roboto Mono" w:hAnsi="Roboto Mono" w:cs="Roboto Mono"/>
        </w:rPr>
        <w:t xml:space="preserve">. One is used in </w:t>
      </w:r>
      <w:r>
        <w:rPr>
          <w:rFonts w:ascii="Roboto Mono" w:eastAsia="Roboto Mono" w:hAnsi="Roboto Mono" w:cs="Roboto Mono"/>
          <w:b/>
        </w:rPr>
        <w:t>technical, academic, or professional</w:t>
      </w:r>
      <w:r>
        <w:rPr>
          <w:rFonts w:ascii="Roboto Mono" w:eastAsia="Roboto Mono" w:hAnsi="Roboto Mono" w:cs="Roboto Mono"/>
        </w:rPr>
        <w:t xml:space="preserve"> contexts, while the other is used in </w:t>
      </w:r>
      <w:r>
        <w:rPr>
          <w:rFonts w:ascii="Roboto Mono" w:eastAsia="Roboto Mono" w:hAnsi="Roboto Mono" w:cs="Roboto Mono"/>
          <w:b/>
        </w:rPr>
        <w:t>everyday, general language</w:t>
      </w:r>
      <w:r>
        <w:rPr>
          <w:rFonts w:ascii="Roboto Mono" w:eastAsia="Roboto Mono" w:hAnsi="Roboto Mono" w:cs="Roboto Mono"/>
        </w:rPr>
        <w:t>.</w:t>
      </w:r>
    </w:p>
    <w:p w14:paraId="6830B2F1" w14:textId="77777777" w:rsidR="009D0AEB" w:rsidRDefault="009D0AEB">
      <w:r>
        <w:pict w14:anchorId="3054EA51">
          <v:rect id="_x0000_i1025" style="width:0;height:1.5pt" o:hralign="center" o:hrstd="t" o:hr="t" fillcolor="#a0a0a0" stroked="f"/>
        </w:pict>
      </w:r>
    </w:p>
    <w:p w14:paraId="2F4DBFF6" w14:textId="77777777" w:rsidR="009D0AEB" w:rsidRDefault="009D0AEB">
      <w:pPr>
        <w:pStyle w:val="Heading2"/>
        <w:keepNext w:val="0"/>
        <w:keepLines w:val="0"/>
        <w:spacing w:before="280"/>
      </w:pPr>
      <w:bookmarkStart w:id="2" w:name="_veveh4p0hpjk" w:colFirst="0" w:colLast="0"/>
      <w:bookmarkEnd w:id="2"/>
      <w:r>
        <w:t>🧠 Definition:</w:t>
      </w:r>
    </w:p>
    <w:p w14:paraId="54CA163C" w14:textId="77777777" w:rsidR="009D0AEB" w:rsidRDefault="009D0AEB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[7/30/2025]</w:t>
      </w:r>
    </w:p>
    <w:p w14:paraId="67C3DBC7" w14:textId="77777777" w:rsidR="009D0AEB" w:rsidRDefault="009D0AEB">
      <w:pPr>
        <w:spacing w:before="240" w:after="240"/>
        <w:ind w:right="60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Technical vs Lay synonyms</w:t>
      </w:r>
      <w:r>
        <w:rPr>
          <w:rFonts w:ascii="Roboto Mono" w:eastAsia="Roboto Mono" w:hAnsi="Roboto Mono" w:cs="Roboto Mono"/>
        </w:rPr>
        <w:t xml:space="preserve"> refer to pairs of terms where one is specialized or jargon-based (</w:t>
      </w:r>
      <w:r>
        <w:rPr>
          <w:rFonts w:ascii="Roboto Mono" w:eastAsia="Roboto Mono" w:hAnsi="Roboto Mono" w:cs="Roboto Mono"/>
          <w:b/>
        </w:rPr>
        <w:t>technical</w:t>
      </w:r>
      <w:r>
        <w:rPr>
          <w:rFonts w:ascii="Roboto Mono" w:eastAsia="Roboto Mono" w:hAnsi="Roboto Mono" w:cs="Roboto Mono"/>
        </w:rPr>
        <w:t>) and the other is common or non-specialist (</w:t>
      </w:r>
      <w:r>
        <w:rPr>
          <w:rFonts w:ascii="Roboto Mono" w:eastAsia="Roboto Mono" w:hAnsi="Roboto Mono" w:cs="Roboto Mono"/>
          <w:b/>
        </w:rPr>
        <w:t>lay</w:t>
      </w:r>
      <w:r>
        <w:rPr>
          <w:rFonts w:ascii="Roboto Mono" w:eastAsia="Roboto Mono" w:hAnsi="Roboto Mono" w:cs="Roboto Mono"/>
        </w:rPr>
        <w:t>), though both refer to the same or similar thing.</w:t>
      </w:r>
    </w:p>
    <w:p w14:paraId="5FD35548" w14:textId="77777777" w:rsidR="009D0AEB" w:rsidRDefault="009D0AEB">
      <w:r>
        <w:pict w14:anchorId="44AE021D">
          <v:rect id="_x0000_i1026" style="width:0;height:1.5pt" o:hralign="center" o:hrstd="t" o:hr="t" fillcolor="#a0a0a0" stroked="f"/>
        </w:pict>
      </w:r>
    </w:p>
    <w:p w14:paraId="497B8BE3" w14:textId="77777777" w:rsidR="009D0AEB" w:rsidRDefault="009D0AEB">
      <w:pPr>
        <w:pStyle w:val="Heading2"/>
        <w:keepNext w:val="0"/>
        <w:keepLines w:val="0"/>
        <w:spacing w:before="280"/>
      </w:pPr>
      <w:bookmarkStart w:id="3" w:name="_gpgjvcabhuyg" w:colFirst="0" w:colLast="0"/>
      <w:bookmarkEnd w:id="3"/>
      <w:r>
        <w:t>📌 Key Features:</w:t>
      </w:r>
    </w:p>
    <w:p w14:paraId="23B2706A" w14:textId="77777777" w:rsidR="009D0AEB" w:rsidRDefault="009D0AEB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[7/30/2025]</w:t>
      </w:r>
    </w:p>
    <w:p w14:paraId="0F8F4A08" w14:textId="77777777" w:rsidR="009D0AEB" w:rsidRDefault="009D0AEB">
      <w:r>
        <w:rPr>
          <w:noProof/>
        </w:rPr>
        <w:drawing>
          <wp:inline distT="114300" distB="114300" distL="114300" distR="114300" wp14:anchorId="5AB8EBE1" wp14:editId="033DF35B">
            <wp:extent cx="5943600" cy="1536700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36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18"/>
        <w:gridCol w:w="4581"/>
        <w:gridCol w:w="3061"/>
      </w:tblGrid>
      <w:tr w:rsidR="009D0AEB" w14:paraId="3CE2435C" w14:textId="77777777">
        <w:trPr>
          <w:trHeight w:val="500"/>
        </w:trPr>
        <w:tc>
          <w:tcPr>
            <w:tcW w:w="171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17DF3D" w14:textId="77777777" w:rsidR="009D0AEB" w:rsidRDefault="009D0AEB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Feature</w:t>
            </w:r>
          </w:p>
        </w:tc>
        <w:tc>
          <w:tcPr>
            <w:tcW w:w="4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DBE1D4" w14:textId="77777777" w:rsidR="009D0AEB" w:rsidRDefault="009D0AEB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Technical Synonym</w:t>
            </w:r>
          </w:p>
        </w:tc>
        <w:tc>
          <w:tcPr>
            <w:tcW w:w="3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736479" w14:textId="77777777" w:rsidR="009D0AEB" w:rsidRDefault="009D0AEB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Lay Synonym</w:t>
            </w:r>
          </w:p>
        </w:tc>
      </w:tr>
      <w:tr w:rsidR="009D0AEB" w14:paraId="1666E0FF" w14:textId="77777777">
        <w:trPr>
          <w:trHeight w:val="500"/>
        </w:trPr>
        <w:tc>
          <w:tcPr>
            <w:tcW w:w="171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3EEC40" w14:textId="77777777" w:rsidR="009D0AEB" w:rsidRDefault="009D0AE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Audience</w:t>
            </w:r>
          </w:p>
        </w:tc>
        <w:tc>
          <w:tcPr>
            <w:tcW w:w="4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FA2632" w14:textId="77777777" w:rsidR="009D0AEB" w:rsidRDefault="009D0AE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Specialists, professionals, academics</w:t>
            </w:r>
          </w:p>
        </w:tc>
        <w:tc>
          <w:tcPr>
            <w:tcW w:w="3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9828EE" w14:textId="77777777" w:rsidR="009D0AEB" w:rsidRDefault="009D0AE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General public, non-experts</w:t>
            </w:r>
          </w:p>
        </w:tc>
      </w:tr>
      <w:tr w:rsidR="009D0AEB" w14:paraId="51621148" w14:textId="77777777">
        <w:trPr>
          <w:trHeight w:val="785"/>
        </w:trPr>
        <w:tc>
          <w:tcPr>
            <w:tcW w:w="171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D24266" w14:textId="77777777" w:rsidR="009D0AEB" w:rsidRDefault="009D0AE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Language Type</w:t>
            </w:r>
          </w:p>
        </w:tc>
        <w:tc>
          <w:tcPr>
            <w:tcW w:w="4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49F987" w14:textId="77777777" w:rsidR="009D0AEB" w:rsidRDefault="009D0AE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Domain-specific jargon or terminology</w:t>
            </w:r>
          </w:p>
        </w:tc>
        <w:tc>
          <w:tcPr>
            <w:tcW w:w="3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F68BE8" w14:textId="77777777" w:rsidR="009D0AEB" w:rsidRDefault="009D0AE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Everyday language</w:t>
            </w:r>
          </w:p>
        </w:tc>
      </w:tr>
      <w:tr w:rsidR="009D0AEB" w14:paraId="0F40A1DC" w14:textId="77777777">
        <w:trPr>
          <w:trHeight w:val="500"/>
        </w:trPr>
        <w:tc>
          <w:tcPr>
            <w:tcW w:w="171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3DD45E" w14:textId="77777777" w:rsidR="009D0AEB" w:rsidRDefault="009D0AE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Precision</w:t>
            </w:r>
          </w:p>
        </w:tc>
        <w:tc>
          <w:tcPr>
            <w:tcW w:w="4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08F27C" w14:textId="77777777" w:rsidR="009D0AEB" w:rsidRDefault="009D0AE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High specificity</w:t>
            </w:r>
          </w:p>
        </w:tc>
        <w:tc>
          <w:tcPr>
            <w:tcW w:w="3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4B852A" w14:textId="77777777" w:rsidR="009D0AEB" w:rsidRDefault="009D0AE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Simpler, often less precise</w:t>
            </w:r>
          </w:p>
        </w:tc>
      </w:tr>
      <w:tr w:rsidR="009D0AEB" w14:paraId="4D5067CE" w14:textId="77777777">
        <w:trPr>
          <w:trHeight w:val="785"/>
        </w:trPr>
        <w:tc>
          <w:tcPr>
            <w:tcW w:w="171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8E234E" w14:textId="77777777" w:rsidR="009D0AEB" w:rsidRDefault="009D0AE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Context</w:t>
            </w:r>
          </w:p>
        </w:tc>
        <w:tc>
          <w:tcPr>
            <w:tcW w:w="4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ED2B86" w14:textId="77777777" w:rsidR="009D0AEB" w:rsidRDefault="009D0AE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Used in formal, academic, or technical documents</w:t>
            </w:r>
          </w:p>
        </w:tc>
        <w:tc>
          <w:tcPr>
            <w:tcW w:w="3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AB7264" w14:textId="77777777" w:rsidR="009D0AEB" w:rsidRDefault="009D0AE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Used in casual speech or writing</w:t>
            </w:r>
          </w:p>
        </w:tc>
      </w:tr>
    </w:tbl>
    <w:p w14:paraId="20AB1EE2" w14:textId="77777777" w:rsidR="009D0AEB" w:rsidRDefault="009D0AEB">
      <w:r>
        <w:pict w14:anchorId="6293E075">
          <v:rect id="_x0000_i1027" style="width:0;height:1.5pt" o:hralign="center" o:hrstd="t" o:hr="t" fillcolor="#a0a0a0" stroked="f"/>
        </w:pict>
      </w:r>
    </w:p>
    <w:p w14:paraId="5FCC7DCB" w14:textId="77777777" w:rsidR="009D0AEB" w:rsidRDefault="009D0AEB">
      <w:pPr>
        <w:pStyle w:val="Heading2"/>
        <w:keepNext w:val="0"/>
        <w:keepLines w:val="0"/>
        <w:spacing w:before="280"/>
      </w:pPr>
      <w:bookmarkStart w:id="4" w:name="_b6pgpgbfec3q" w:colFirst="0" w:colLast="0"/>
      <w:bookmarkEnd w:id="4"/>
      <w:r>
        <w:t>📚 Examples of Technical vs Lay Synonyms:</w:t>
      </w:r>
    </w:p>
    <w:p w14:paraId="4302CFB4" w14:textId="77777777" w:rsidR="009D0AEB" w:rsidRDefault="009D0AEB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[7/30/2025]</w:t>
      </w:r>
    </w:p>
    <w:p w14:paraId="5DE70900" w14:textId="77777777" w:rsidR="009D0AEB" w:rsidRDefault="009D0AEB">
      <w:r>
        <w:rPr>
          <w:noProof/>
        </w:rPr>
        <w:drawing>
          <wp:inline distT="114300" distB="114300" distL="114300" distR="114300" wp14:anchorId="7AAD8AA6" wp14:editId="6EAD0308">
            <wp:extent cx="5943600" cy="3606800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06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4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30"/>
        <w:gridCol w:w="2405"/>
        <w:gridCol w:w="2735"/>
      </w:tblGrid>
      <w:tr w:rsidR="009D0AEB" w14:paraId="1F915986" w14:textId="77777777">
        <w:trPr>
          <w:trHeight w:val="500"/>
        </w:trPr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513253" w14:textId="77777777" w:rsidR="009D0AEB" w:rsidRDefault="009D0AEB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Technical Term</w:t>
            </w:r>
          </w:p>
        </w:tc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044E27" w14:textId="77777777" w:rsidR="009D0AEB" w:rsidRDefault="009D0AEB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Lay Synonym</w:t>
            </w:r>
          </w:p>
        </w:tc>
        <w:tc>
          <w:tcPr>
            <w:tcW w:w="2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370A43" w14:textId="77777777" w:rsidR="009D0AEB" w:rsidRDefault="009D0AEB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Context / Field</w:t>
            </w:r>
          </w:p>
        </w:tc>
      </w:tr>
      <w:tr w:rsidR="009D0AEB" w14:paraId="3169F455" w14:textId="77777777">
        <w:trPr>
          <w:trHeight w:val="500"/>
        </w:trPr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243177" w14:textId="77777777" w:rsidR="009D0AEB" w:rsidRDefault="009D0AE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Hypertension</w:t>
            </w:r>
          </w:p>
        </w:tc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8A5628" w14:textId="77777777" w:rsidR="009D0AEB" w:rsidRDefault="009D0AE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High blood pressure</w:t>
            </w:r>
          </w:p>
        </w:tc>
        <w:tc>
          <w:tcPr>
            <w:tcW w:w="2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1811A7" w14:textId="77777777" w:rsidR="009D0AEB" w:rsidRDefault="009D0AE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Medicine</w:t>
            </w:r>
          </w:p>
        </w:tc>
      </w:tr>
      <w:tr w:rsidR="009D0AEB" w14:paraId="117DF7DA" w14:textId="77777777">
        <w:trPr>
          <w:trHeight w:val="500"/>
        </w:trPr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CF315A" w14:textId="77777777" w:rsidR="009D0AEB" w:rsidRDefault="009D0AE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Myocardial infarction</w:t>
            </w:r>
          </w:p>
        </w:tc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A526AE" w14:textId="77777777" w:rsidR="009D0AEB" w:rsidRDefault="009D0AE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Heart attack</w:t>
            </w:r>
          </w:p>
        </w:tc>
        <w:tc>
          <w:tcPr>
            <w:tcW w:w="2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C9CB03" w14:textId="77777777" w:rsidR="009D0AEB" w:rsidRDefault="009D0AE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Medicine</w:t>
            </w:r>
          </w:p>
        </w:tc>
      </w:tr>
      <w:tr w:rsidR="009D0AEB" w14:paraId="7367571C" w14:textId="77777777">
        <w:trPr>
          <w:trHeight w:val="500"/>
        </w:trPr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9A1DCB" w14:textId="77777777" w:rsidR="009D0AEB" w:rsidRDefault="009D0AE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Photosynthesis</w:t>
            </w:r>
          </w:p>
        </w:tc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75C60B" w14:textId="77777777" w:rsidR="009D0AEB" w:rsidRDefault="009D0AE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How plants make food</w:t>
            </w:r>
          </w:p>
        </w:tc>
        <w:tc>
          <w:tcPr>
            <w:tcW w:w="2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3B70E9" w14:textId="77777777" w:rsidR="009D0AEB" w:rsidRDefault="009D0AE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Biology</w:t>
            </w:r>
          </w:p>
        </w:tc>
      </w:tr>
      <w:tr w:rsidR="009D0AEB" w14:paraId="1B6B5712" w14:textId="77777777">
        <w:trPr>
          <w:trHeight w:val="500"/>
        </w:trPr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85BD6A" w14:textId="77777777" w:rsidR="009D0AEB" w:rsidRDefault="009D0AE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Velocity</w:t>
            </w:r>
          </w:p>
        </w:tc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C0693E" w14:textId="77777777" w:rsidR="009D0AEB" w:rsidRDefault="009D0AE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Speed</w:t>
            </w:r>
          </w:p>
        </w:tc>
        <w:tc>
          <w:tcPr>
            <w:tcW w:w="2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925248" w14:textId="77777777" w:rsidR="009D0AEB" w:rsidRDefault="009D0AE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Physics</w:t>
            </w:r>
          </w:p>
        </w:tc>
      </w:tr>
      <w:tr w:rsidR="009D0AEB" w14:paraId="776C25D6" w14:textId="77777777">
        <w:trPr>
          <w:trHeight w:val="500"/>
        </w:trPr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F808E1" w14:textId="77777777" w:rsidR="009D0AEB" w:rsidRDefault="009D0AE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Linguistic register</w:t>
            </w:r>
          </w:p>
        </w:tc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799A8B" w14:textId="77777777" w:rsidR="009D0AEB" w:rsidRDefault="009D0AE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Language level/style</w:t>
            </w:r>
          </w:p>
        </w:tc>
        <w:tc>
          <w:tcPr>
            <w:tcW w:w="2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2ABB9B" w14:textId="77777777" w:rsidR="009D0AEB" w:rsidRDefault="009D0AE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Linguistics</w:t>
            </w:r>
          </w:p>
        </w:tc>
      </w:tr>
      <w:tr w:rsidR="009D0AEB" w14:paraId="0E4BB8DE" w14:textId="77777777">
        <w:trPr>
          <w:trHeight w:val="500"/>
        </w:trPr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F47EC1" w14:textId="77777777" w:rsidR="009D0AEB" w:rsidRDefault="009D0AE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Authentication</w:t>
            </w:r>
          </w:p>
        </w:tc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AF56E7" w14:textId="77777777" w:rsidR="009D0AEB" w:rsidRDefault="009D0AE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Identity check</w:t>
            </w:r>
          </w:p>
        </w:tc>
        <w:tc>
          <w:tcPr>
            <w:tcW w:w="2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A5BCE0" w14:textId="77777777" w:rsidR="009D0AEB" w:rsidRDefault="009D0AE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Cybersecurity / IT</w:t>
            </w:r>
          </w:p>
        </w:tc>
      </w:tr>
      <w:tr w:rsidR="009D0AEB" w14:paraId="7F0E85B7" w14:textId="77777777">
        <w:trPr>
          <w:trHeight w:val="500"/>
        </w:trPr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FFC7D0" w14:textId="77777777" w:rsidR="009D0AEB" w:rsidRDefault="009D0AE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Cognitive load</w:t>
            </w:r>
          </w:p>
        </w:tc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A11BA7" w14:textId="77777777" w:rsidR="009D0AEB" w:rsidRDefault="009D0AE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Mental effort</w:t>
            </w:r>
          </w:p>
        </w:tc>
        <w:tc>
          <w:tcPr>
            <w:tcW w:w="2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AEAC23" w14:textId="77777777" w:rsidR="009D0AEB" w:rsidRDefault="009D0AE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Psychology / Education</w:t>
            </w:r>
          </w:p>
        </w:tc>
      </w:tr>
      <w:tr w:rsidR="009D0AEB" w14:paraId="415D0570" w14:textId="77777777">
        <w:trPr>
          <w:trHeight w:val="500"/>
        </w:trPr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2CB6DD" w14:textId="77777777" w:rsidR="009D0AEB" w:rsidRDefault="009D0AE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Lexical item</w:t>
            </w:r>
          </w:p>
        </w:tc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702004" w14:textId="77777777" w:rsidR="009D0AEB" w:rsidRDefault="009D0AE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Word</w:t>
            </w:r>
          </w:p>
        </w:tc>
        <w:tc>
          <w:tcPr>
            <w:tcW w:w="2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890A4D" w14:textId="77777777" w:rsidR="009D0AEB" w:rsidRDefault="009D0AE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Linguistics</w:t>
            </w:r>
          </w:p>
        </w:tc>
      </w:tr>
      <w:tr w:rsidR="009D0AEB" w14:paraId="6B7888AA" w14:textId="77777777">
        <w:trPr>
          <w:trHeight w:val="500"/>
        </w:trPr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A66EE2" w14:textId="77777777" w:rsidR="009D0AEB" w:rsidRDefault="009D0AE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Visual impairment</w:t>
            </w:r>
          </w:p>
        </w:tc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F89BBC" w14:textId="77777777" w:rsidR="009D0AEB" w:rsidRDefault="009D0AE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Poor eyesight</w:t>
            </w:r>
          </w:p>
        </w:tc>
        <w:tc>
          <w:tcPr>
            <w:tcW w:w="2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7B47A6" w14:textId="77777777" w:rsidR="009D0AEB" w:rsidRDefault="009D0AE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Health / Disability studies</w:t>
            </w:r>
          </w:p>
        </w:tc>
      </w:tr>
      <w:tr w:rsidR="009D0AEB" w14:paraId="3038D924" w14:textId="77777777">
        <w:trPr>
          <w:trHeight w:val="500"/>
        </w:trPr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1FC80A" w14:textId="77777777" w:rsidR="009D0AEB" w:rsidRDefault="009D0AE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Gastroenteritis</w:t>
            </w:r>
          </w:p>
        </w:tc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49D8DD" w14:textId="77777777" w:rsidR="009D0AEB" w:rsidRDefault="009D0AE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Stomach flu</w:t>
            </w:r>
          </w:p>
        </w:tc>
        <w:tc>
          <w:tcPr>
            <w:tcW w:w="2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1156BA" w14:textId="77777777" w:rsidR="009D0AEB" w:rsidRDefault="009D0AE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Medicine</w:t>
            </w:r>
          </w:p>
        </w:tc>
      </w:tr>
    </w:tbl>
    <w:p w14:paraId="0FEF0B74" w14:textId="77777777" w:rsidR="009D0AEB" w:rsidRDefault="009D0AEB">
      <w:r>
        <w:pict w14:anchorId="5E16E51C">
          <v:rect id="_x0000_i1028" style="width:0;height:1.5pt" o:hralign="center" o:hrstd="t" o:hr="t" fillcolor="#a0a0a0" stroked="f"/>
        </w:pict>
      </w:r>
    </w:p>
    <w:p w14:paraId="60971EA8" w14:textId="77777777" w:rsidR="009D0AEB" w:rsidRDefault="009D0AEB">
      <w:pPr>
        <w:pStyle w:val="Heading2"/>
        <w:keepNext w:val="0"/>
        <w:keepLines w:val="0"/>
        <w:spacing w:before="280"/>
      </w:pPr>
      <w:bookmarkStart w:id="5" w:name="_o9ec62njhost" w:colFirst="0" w:colLast="0"/>
      <w:bookmarkEnd w:id="5"/>
      <w:r>
        <w:t>🔁 Comparison with Other Synonym Types:</w:t>
      </w:r>
    </w:p>
    <w:p w14:paraId="207FF1BE" w14:textId="77777777" w:rsidR="009D0AEB" w:rsidRDefault="009D0AEB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[7/30/2025]</w:t>
      </w:r>
    </w:p>
    <w:p w14:paraId="6769D046" w14:textId="77777777" w:rsidR="009D0AEB" w:rsidRDefault="009D0AEB">
      <w:r>
        <w:rPr>
          <w:noProof/>
        </w:rPr>
        <w:drawing>
          <wp:inline distT="114300" distB="114300" distL="114300" distR="114300" wp14:anchorId="7E5A3D11" wp14:editId="66E5BC6B">
            <wp:extent cx="5943600" cy="15748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74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2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255"/>
        <w:gridCol w:w="3320"/>
        <w:gridCol w:w="3665"/>
      </w:tblGrid>
      <w:tr w:rsidR="009D0AEB" w14:paraId="6647005F" w14:textId="77777777">
        <w:trPr>
          <w:trHeight w:val="500"/>
        </w:trPr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680DDB" w14:textId="77777777" w:rsidR="009D0AEB" w:rsidRDefault="009D0AEB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Type</w:t>
            </w:r>
          </w:p>
        </w:tc>
        <w:tc>
          <w:tcPr>
            <w:tcW w:w="3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E87122" w14:textId="77777777" w:rsidR="009D0AEB" w:rsidRDefault="009D0AEB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Key Feature</w:t>
            </w:r>
          </w:p>
        </w:tc>
        <w:tc>
          <w:tcPr>
            <w:tcW w:w="36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4918BE" w14:textId="77777777" w:rsidR="009D0AEB" w:rsidRDefault="009D0AEB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Example</w:t>
            </w:r>
          </w:p>
        </w:tc>
      </w:tr>
      <w:tr w:rsidR="009D0AEB" w14:paraId="17DD5078" w14:textId="77777777">
        <w:trPr>
          <w:trHeight w:val="500"/>
        </w:trPr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E62410" w14:textId="77777777" w:rsidR="009D0AEB" w:rsidRDefault="009D0AE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Emotive Synonyms</w:t>
            </w:r>
          </w:p>
        </w:tc>
        <w:tc>
          <w:tcPr>
            <w:tcW w:w="3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0254B4" w14:textId="77777777" w:rsidR="009D0AEB" w:rsidRDefault="009D0AE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Emotional tone differs</w:t>
            </w:r>
          </w:p>
        </w:tc>
        <w:tc>
          <w:tcPr>
            <w:tcW w:w="36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783D87" w14:textId="77777777" w:rsidR="009D0AEB" w:rsidRDefault="009D0AE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Slim / Scrawny</w:t>
            </w:r>
          </w:p>
        </w:tc>
      </w:tr>
      <w:tr w:rsidR="009D0AEB" w14:paraId="68EA65B7" w14:textId="77777777">
        <w:trPr>
          <w:trHeight w:val="500"/>
        </w:trPr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64B8B4" w14:textId="77777777" w:rsidR="009D0AEB" w:rsidRDefault="009D0AE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Stylistic Synonyms</w:t>
            </w:r>
          </w:p>
        </w:tc>
        <w:tc>
          <w:tcPr>
            <w:tcW w:w="3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0E9234" w14:textId="77777777" w:rsidR="009D0AEB" w:rsidRDefault="009D0AE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Formality or tone varies</w:t>
            </w:r>
          </w:p>
        </w:tc>
        <w:tc>
          <w:tcPr>
            <w:tcW w:w="36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0BB34C" w14:textId="77777777" w:rsidR="009D0AEB" w:rsidRDefault="009D0AE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Start / Commence</w:t>
            </w:r>
          </w:p>
        </w:tc>
      </w:tr>
      <w:tr w:rsidR="009D0AEB" w14:paraId="1B4264A0" w14:textId="77777777">
        <w:trPr>
          <w:trHeight w:val="500"/>
        </w:trPr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4D081C" w14:textId="77777777" w:rsidR="009D0AEB" w:rsidRDefault="009D0AE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Dialectal Synonyms</w:t>
            </w:r>
          </w:p>
        </w:tc>
        <w:tc>
          <w:tcPr>
            <w:tcW w:w="3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3CB97E" w14:textId="77777777" w:rsidR="009D0AEB" w:rsidRDefault="009D0AE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Regional usage differs</w:t>
            </w:r>
          </w:p>
        </w:tc>
        <w:tc>
          <w:tcPr>
            <w:tcW w:w="36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A4EDC4" w14:textId="77777777" w:rsidR="009D0AEB" w:rsidRDefault="009D0AE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Lift (UK) / Elevator (US)</w:t>
            </w:r>
          </w:p>
        </w:tc>
      </w:tr>
      <w:tr w:rsidR="009D0AEB" w14:paraId="4B2C5A30" w14:textId="77777777">
        <w:trPr>
          <w:trHeight w:val="500"/>
        </w:trPr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1B2198" w14:textId="77777777" w:rsidR="009D0AEB" w:rsidRDefault="009D0AE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Technical vs Lay</w:t>
            </w:r>
          </w:p>
        </w:tc>
        <w:tc>
          <w:tcPr>
            <w:tcW w:w="3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E4AB64" w14:textId="77777777" w:rsidR="009D0AEB" w:rsidRDefault="009D0AE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Technicality and audience differ</w:t>
            </w:r>
          </w:p>
        </w:tc>
        <w:tc>
          <w:tcPr>
            <w:tcW w:w="36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90201B" w14:textId="77777777" w:rsidR="009D0AEB" w:rsidRDefault="009D0AE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Hypertension / High blood pressure</w:t>
            </w:r>
          </w:p>
        </w:tc>
      </w:tr>
    </w:tbl>
    <w:p w14:paraId="7F8CCDFB" w14:textId="77777777" w:rsidR="009D0AEB" w:rsidRDefault="009D0AEB">
      <w:r>
        <w:pict w14:anchorId="2F603FA2">
          <v:rect id="_x0000_i1029" style="width:0;height:1.5pt" o:hralign="center" o:hrstd="t" o:hr="t" fillcolor="#a0a0a0" stroked="f"/>
        </w:pict>
      </w:r>
    </w:p>
    <w:p w14:paraId="57C721A0" w14:textId="77777777" w:rsidR="009D0AEB" w:rsidRDefault="009D0AEB">
      <w:pPr>
        <w:pStyle w:val="Heading2"/>
        <w:keepNext w:val="0"/>
        <w:keepLines w:val="0"/>
        <w:spacing w:before="280"/>
      </w:pPr>
      <w:bookmarkStart w:id="6" w:name="_72hksjnwajl4" w:colFirst="0" w:colLast="0"/>
      <w:bookmarkEnd w:id="6"/>
      <w:r>
        <w:t>🧾 Usage Note:</w:t>
      </w:r>
    </w:p>
    <w:p w14:paraId="0D61D251" w14:textId="77777777" w:rsidR="009D0AEB" w:rsidRDefault="009D0AEB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[7/30/2025]</w:t>
      </w:r>
    </w:p>
    <w:p w14:paraId="7CCE2312" w14:textId="77777777" w:rsidR="009D0AEB" w:rsidRDefault="009D0AEB" w:rsidP="009D0AEB">
      <w:pPr>
        <w:numPr>
          <w:ilvl w:val="0"/>
          <w:numId w:val="1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Lay synonyms are useful for </w:t>
      </w:r>
      <w:r>
        <w:rPr>
          <w:rFonts w:ascii="Roboto Mono" w:eastAsia="Roboto Mono" w:hAnsi="Roboto Mono" w:cs="Roboto Mono"/>
          <w:b/>
        </w:rPr>
        <w:t>communication with the general public</w:t>
      </w:r>
      <w:r>
        <w:rPr>
          <w:rFonts w:ascii="Roboto Mono" w:eastAsia="Roboto Mono" w:hAnsi="Roboto Mono" w:cs="Roboto Mono"/>
        </w:rPr>
        <w:t xml:space="preserve">, while technical terms are crucial for </w:t>
      </w:r>
      <w:r>
        <w:rPr>
          <w:rFonts w:ascii="Roboto Mono" w:eastAsia="Roboto Mono" w:hAnsi="Roboto Mono" w:cs="Roboto Mono"/>
          <w:b/>
        </w:rPr>
        <w:t>precision in expert fields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0B246BD8" w14:textId="77777777" w:rsidR="009D0AEB" w:rsidRDefault="009D0AEB" w:rsidP="009D0AEB">
      <w:pPr>
        <w:numPr>
          <w:ilvl w:val="0"/>
          <w:numId w:val="1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Translating technical terms into lay language is a key part of </w:t>
      </w:r>
      <w:r>
        <w:rPr>
          <w:rFonts w:ascii="Roboto Mono" w:eastAsia="Roboto Mono" w:hAnsi="Roboto Mono" w:cs="Roboto Mono"/>
          <w:b/>
        </w:rPr>
        <w:t>science communication</w:t>
      </w:r>
      <w:r>
        <w:rPr>
          <w:rFonts w:ascii="Roboto Mono" w:eastAsia="Roboto Mono" w:hAnsi="Roboto Mono" w:cs="Roboto Mono"/>
        </w:rPr>
        <w:t xml:space="preserve">, </w:t>
      </w:r>
      <w:r>
        <w:rPr>
          <w:rFonts w:ascii="Roboto Mono" w:eastAsia="Roboto Mono" w:hAnsi="Roboto Mono" w:cs="Roboto Mono"/>
          <w:b/>
        </w:rPr>
        <w:t>public health</w:t>
      </w:r>
      <w:r>
        <w:rPr>
          <w:rFonts w:ascii="Roboto Mono" w:eastAsia="Roboto Mono" w:hAnsi="Roboto Mono" w:cs="Roboto Mono"/>
        </w:rPr>
        <w:t xml:space="preserve">, and </w:t>
      </w:r>
      <w:r>
        <w:rPr>
          <w:rFonts w:ascii="Roboto Mono" w:eastAsia="Roboto Mono" w:hAnsi="Roboto Mono" w:cs="Roboto Mono"/>
          <w:b/>
        </w:rPr>
        <w:t>education</w:t>
      </w:r>
      <w:r>
        <w:rPr>
          <w:rFonts w:ascii="Roboto Mono" w:eastAsia="Roboto Mono" w:hAnsi="Roboto Mono" w:cs="Roboto Mono"/>
        </w:rPr>
        <w:t>.</w:t>
      </w:r>
    </w:p>
    <w:p w14:paraId="0F49EC27" w14:textId="77777777" w:rsidR="009D0AEB" w:rsidRDefault="009D0AEB">
      <w:r>
        <w:pict w14:anchorId="1A76093D">
          <v:rect id="_x0000_i1030" style="width:0;height:1.5pt" o:hralign="center" o:hrstd="t" o:hr="t" fillcolor="#a0a0a0" stroked="f"/>
        </w:pict>
      </w:r>
    </w:p>
    <w:p w14:paraId="21F54DDD" w14:textId="77777777" w:rsidR="009D0AEB" w:rsidRDefault="009D0AEB"/>
    <w:p w14:paraId="7E6E6D7A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F2D7C0B"/>
    <w:multiLevelType w:val="multilevel"/>
    <w:tmpl w:val="E67CDDF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0837229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0AEB"/>
    <w:rsid w:val="002D1F4F"/>
    <w:rsid w:val="00711B4D"/>
    <w:rsid w:val="008952B3"/>
    <w:rsid w:val="009D0AEB"/>
    <w:rsid w:val="00A70480"/>
    <w:rsid w:val="00F453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EB5A61"/>
  <w15:chartTrackingRefBased/>
  <w15:docId w15:val="{7ABCDF81-7C5F-49E1-9B9F-8434485673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D0AE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D0AE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D0AE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D0AE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D0AE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D0AE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D0AE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D0AE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D0AE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D0AE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D0AE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D0AE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D0AE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D0AE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D0AE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D0AE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D0AE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D0AE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D0AE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D0AE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D0AE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D0AE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D0AE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D0AE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D0AE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D0AE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D0AE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D0AE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D0AE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443</Words>
  <Characters>2531</Characters>
  <Application>Microsoft Office Word</Application>
  <DocSecurity>0</DocSecurity>
  <Lines>21</Lines>
  <Paragraphs>5</Paragraphs>
  <ScaleCrop>false</ScaleCrop>
  <Company/>
  <LinksUpToDate>false</LinksUpToDate>
  <CharactersWithSpaces>2969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2026-01-31T04:51:00Z</dcterms:created>
  <dcterms:modified xsi:type="dcterms:W3CDTF">2026-01-31T04:51:00Z</dcterms:modified>
</cp:coreProperties>
</file>