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FC87" w14:textId="77777777" w:rsidR="00842FD4" w:rsidRDefault="00842FD4">
      <w:pPr>
        <w:pStyle w:val="Heading1"/>
        <w:keepNext w:val="0"/>
        <w:keepLines w:val="0"/>
        <w:spacing w:before="280"/>
      </w:pPr>
      <w:bookmarkStart w:id="0" w:name="_leaon5sdxapp" w:colFirst="0" w:colLast="0"/>
      <w:bookmarkEnd w:id="0"/>
      <w:r>
        <w:t>Auto-antonyms (Contronyms)</w:t>
      </w:r>
    </w:p>
    <w:p w14:paraId="2EA4B2DE" w14:textId="77777777" w:rsidR="00842FD4" w:rsidRDefault="00842FD4">
      <w:pPr>
        <w:pStyle w:val="Heading2"/>
      </w:pPr>
      <w:bookmarkStart w:id="1" w:name="_lfljp8vkuw13" w:colFirst="0" w:colLast="0"/>
      <w:bookmarkEnd w:id="1"/>
      <w:r>
        <w:t>What is Auto-antonyms (Contronyms)</w:t>
      </w:r>
    </w:p>
    <w:p w14:paraId="7F6EB0BB" w14:textId="77777777" w:rsidR="00842FD4" w:rsidRDefault="00842FD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47EFE14" w14:textId="77777777" w:rsidR="00842FD4" w:rsidRDefault="00842FD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Auto-antonyms, also called </w:t>
      </w:r>
      <w:r>
        <w:rPr>
          <w:rFonts w:ascii="Roboto Mono" w:eastAsia="Roboto Mono" w:hAnsi="Roboto Mono" w:cs="Roboto Mono"/>
          <w:b/>
        </w:rPr>
        <w:t>contronyms</w:t>
      </w:r>
      <w:r>
        <w:rPr>
          <w:rFonts w:ascii="Roboto Mono" w:eastAsia="Roboto Mono" w:hAnsi="Roboto Mono" w:cs="Roboto Mono"/>
        </w:rPr>
        <w:t xml:space="preserve">, are </w:t>
      </w:r>
      <w:r>
        <w:rPr>
          <w:rFonts w:ascii="Roboto Mono" w:eastAsia="Roboto Mono" w:hAnsi="Roboto Mono" w:cs="Roboto Mono"/>
          <w:b/>
        </w:rPr>
        <w:t>single words</w:t>
      </w:r>
      <w:r>
        <w:rPr>
          <w:rFonts w:ascii="Roboto Mono" w:eastAsia="Roboto Mono" w:hAnsi="Roboto Mono" w:cs="Roboto Mono"/>
        </w:rPr>
        <w:t xml:space="preserve"> that contain </w:t>
      </w:r>
      <w:r>
        <w:rPr>
          <w:rFonts w:ascii="Roboto Mono" w:eastAsia="Roboto Mono" w:hAnsi="Roboto Mono" w:cs="Roboto Mono"/>
          <w:b/>
        </w:rPr>
        <w:t>two opposite or contradictory meanings</w:t>
      </w:r>
      <w:r>
        <w:rPr>
          <w:rFonts w:ascii="Roboto Mono" w:eastAsia="Roboto Mono" w:hAnsi="Roboto Mono" w:cs="Roboto Mono"/>
        </w:rPr>
        <w:t xml:space="preserve">, depending on the </w:t>
      </w:r>
      <w:r>
        <w:rPr>
          <w:rFonts w:ascii="Roboto Mono" w:eastAsia="Roboto Mono" w:hAnsi="Roboto Mono" w:cs="Roboto Mono"/>
          <w:b/>
        </w:rPr>
        <w:t>context</w:t>
      </w:r>
      <w:r>
        <w:rPr>
          <w:rFonts w:ascii="Roboto Mono" w:eastAsia="Roboto Mono" w:hAnsi="Roboto Mono" w:cs="Roboto Mono"/>
        </w:rPr>
        <w:t xml:space="preserve"> in which they are used.</w:t>
      </w:r>
    </w:p>
    <w:p w14:paraId="26E620C1" w14:textId="77777777" w:rsidR="00842FD4" w:rsidRDefault="00842FD4">
      <w:r>
        <w:pict w14:anchorId="5FA9394C">
          <v:rect id="_x0000_i1025" style="width:0;height:1.5pt" o:hralign="center" o:hrstd="t" o:hr="t" fillcolor="#a0a0a0" stroked="f"/>
        </w:pict>
      </w:r>
    </w:p>
    <w:p w14:paraId="65835DA2" w14:textId="77777777" w:rsidR="00842FD4" w:rsidRDefault="00842FD4">
      <w:pPr>
        <w:pStyle w:val="Heading2"/>
        <w:keepNext w:val="0"/>
        <w:keepLines w:val="0"/>
        <w:spacing w:before="280"/>
      </w:pPr>
      <w:bookmarkStart w:id="2" w:name="_kl98beghtznr" w:colFirst="0" w:colLast="0"/>
      <w:bookmarkEnd w:id="2"/>
      <w:r>
        <w:t>📊 Overview Table</w:t>
      </w:r>
    </w:p>
    <w:p w14:paraId="7BAC01AA" w14:textId="77777777" w:rsidR="00842FD4" w:rsidRDefault="00842FD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0C8D397" w14:textId="77777777" w:rsidR="00842FD4" w:rsidRDefault="00842FD4">
      <w:r>
        <w:rPr>
          <w:noProof/>
        </w:rPr>
        <w:drawing>
          <wp:inline distT="114300" distB="114300" distL="114300" distR="114300" wp14:anchorId="7A07EFD3" wp14:editId="1D885BFA">
            <wp:extent cx="5943600" cy="1803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7355"/>
      </w:tblGrid>
      <w:tr w:rsidR="00842FD4" w14:paraId="0EEE5911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1303" w14:textId="77777777" w:rsidR="00842FD4" w:rsidRDefault="00842F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814B0" w14:textId="77777777" w:rsidR="00842FD4" w:rsidRDefault="00842F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842FD4" w14:paraId="220CA522" w14:textId="77777777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8C55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Alternate Names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8AB2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Auto-antonyms, Contronyms, Janus words (named after the two-faced Roman god)</w:t>
            </w:r>
          </w:p>
        </w:tc>
      </w:tr>
      <w:tr w:rsidR="00842FD4" w14:paraId="3DFA34FF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D45A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7A14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that are their own opposites depending on usage</w:t>
            </w:r>
          </w:p>
        </w:tc>
      </w:tr>
      <w:tr w:rsidR="00842FD4" w14:paraId="7C5785E4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FEB69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 Feature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6EDA4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Meaning shifts based on </w:t>
            </w: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</w:tr>
      <w:tr w:rsidR="00842FD4" w14:paraId="5C042224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86973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Complexity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230B9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causes confusion or ambiguity if not clear from sentence structure</w:t>
            </w:r>
          </w:p>
        </w:tc>
      </w:tr>
    </w:tbl>
    <w:p w14:paraId="259E9F83" w14:textId="77777777" w:rsidR="00842FD4" w:rsidRDefault="00842FD4">
      <w:r>
        <w:pict w14:anchorId="133D5612">
          <v:rect id="_x0000_i1026" style="width:0;height:1.5pt" o:hralign="center" o:hrstd="t" o:hr="t" fillcolor="#a0a0a0" stroked="f"/>
        </w:pict>
      </w:r>
    </w:p>
    <w:p w14:paraId="515A35A9" w14:textId="77777777" w:rsidR="00842FD4" w:rsidRDefault="00842FD4">
      <w:pPr>
        <w:pStyle w:val="Heading2"/>
        <w:keepNext w:val="0"/>
        <w:keepLines w:val="0"/>
        <w:spacing w:before="280"/>
      </w:pPr>
      <w:bookmarkStart w:id="3" w:name="_fjnhglege0u7" w:colFirst="0" w:colLast="0"/>
      <w:bookmarkEnd w:id="3"/>
      <w:r>
        <w:t>🧠 Examples of Auto-antonyms (Contronyms)</w:t>
      </w:r>
    </w:p>
    <w:p w14:paraId="0CC982C4" w14:textId="77777777" w:rsidR="00842FD4" w:rsidRDefault="00842FD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9AA6209" w14:textId="77777777" w:rsidR="00842FD4" w:rsidRDefault="00842FD4">
      <w:r>
        <w:rPr>
          <w:noProof/>
        </w:rPr>
        <w:drawing>
          <wp:inline distT="114300" distB="114300" distL="114300" distR="114300" wp14:anchorId="331BB89F" wp14:editId="49867B8F">
            <wp:extent cx="5943600" cy="4229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9"/>
        <w:gridCol w:w="1758"/>
        <w:gridCol w:w="2051"/>
        <w:gridCol w:w="4332"/>
      </w:tblGrid>
      <w:tr w:rsidR="00842FD4" w14:paraId="6671366D" w14:textId="77777777">
        <w:trPr>
          <w:trHeight w:val="5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FBC07" w14:textId="77777777" w:rsidR="00842FD4" w:rsidRDefault="00842F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D1A55" w14:textId="77777777" w:rsidR="00842FD4" w:rsidRDefault="00842F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1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7F4CA" w14:textId="77777777" w:rsidR="00842FD4" w:rsidRDefault="00842F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2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6AEEB" w14:textId="77777777" w:rsidR="00842FD4" w:rsidRDefault="00842F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Sentences</w:t>
            </w:r>
          </w:p>
        </w:tc>
      </w:tr>
      <w:tr w:rsidR="00842FD4" w14:paraId="27BFFEF5" w14:textId="77777777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1D143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Dust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5ACC4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remove</w:t>
            </w:r>
            <w:r>
              <w:rPr>
                <w:rFonts w:ascii="Roboto Mono" w:eastAsia="Roboto Mono" w:hAnsi="Roboto Mono" w:cs="Roboto Mono"/>
              </w:rPr>
              <w:t xml:space="preserve"> dust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A23D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apply</w:t>
            </w:r>
            <w:r>
              <w:rPr>
                <w:rFonts w:ascii="Roboto Mono" w:eastAsia="Roboto Mono" w:hAnsi="Roboto Mono" w:cs="Roboto Mono"/>
              </w:rPr>
              <w:t xml:space="preserve"> dust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B922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dusted the shelf.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He dusted the cake with sugar.</w:t>
            </w:r>
          </w:p>
        </w:tc>
      </w:tr>
      <w:tr w:rsidR="00842FD4" w14:paraId="7CD3E09B" w14:textId="77777777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B9ED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Sanction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D600F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approve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B0AAB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penalize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53F8E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government sanctioned the event.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They faced sanctions.</w:t>
            </w:r>
          </w:p>
        </w:tc>
      </w:tr>
      <w:tr w:rsidR="00842FD4" w14:paraId="21092CA4" w14:textId="77777777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C9916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Oversight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9C7B8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supervise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FB8D0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mistake or neglect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1A44E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had oversight of the project.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It was a serious oversight.</w:t>
            </w:r>
          </w:p>
        </w:tc>
      </w:tr>
      <w:tr w:rsidR="00842FD4" w14:paraId="7FB45309" w14:textId="77777777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25422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Left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2A446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Departed from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D816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Remaining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A8D8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left the building.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Only three pieces are left.</w:t>
            </w:r>
          </w:p>
        </w:tc>
      </w:tr>
      <w:tr w:rsidR="00842FD4" w14:paraId="6F04D8C0" w14:textId="77777777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880A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Seed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9C691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plant seeds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387D6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remove seeds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EEA71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seeded the garden.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Seed the tomatoes before cooking.</w:t>
            </w:r>
          </w:p>
        </w:tc>
      </w:tr>
      <w:tr w:rsidR="00842FD4" w14:paraId="49F5E3FA" w14:textId="77777777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2694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Clip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0B3BE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attach or fasten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2770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cut or detach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BBFF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Clip the pages together.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Clip the hedge.</w:t>
            </w:r>
          </w:p>
        </w:tc>
      </w:tr>
      <w:tr w:rsidR="00842FD4" w14:paraId="2E98D9F1" w14:textId="77777777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7CC74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Trim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B67CA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decorate or add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98EB9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cut down or remove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4F6B2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Trim the tree with ornaments.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Trim the excess fat.</w:t>
            </w:r>
          </w:p>
        </w:tc>
      </w:tr>
      <w:tr w:rsidR="00842FD4" w14:paraId="7911629E" w14:textId="77777777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ACC5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Weather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9E094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withstand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4D88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wear away or erode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023FC" w14:textId="77777777" w:rsidR="00842FD4" w:rsidRDefault="00842F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building weathered the storm.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The paint was weathered.</w:t>
            </w:r>
          </w:p>
        </w:tc>
      </w:tr>
    </w:tbl>
    <w:p w14:paraId="2B015324" w14:textId="77777777" w:rsidR="00842FD4" w:rsidRDefault="00842FD4">
      <w:r>
        <w:pict w14:anchorId="473F07F2">
          <v:rect id="_x0000_i1027" style="width:0;height:1.5pt" o:hralign="center" o:hrstd="t" o:hr="t" fillcolor="#a0a0a0" stroked="f"/>
        </w:pict>
      </w:r>
    </w:p>
    <w:p w14:paraId="6CDF5CC6" w14:textId="77777777" w:rsidR="00842FD4" w:rsidRDefault="00842FD4">
      <w:pPr>
        <w:pStyle w:val="Heading2"/>
        <w:keepNext w:val="0"/>
        <w:keepLines w:val="0"/>
        <w:spacing w:before="280"/>
      </w:pPr>
      <w:bookmarkStart w:id="4" w:name="_k8r22mex6zjk" w:colFirst="0" w:colLast="0"/>
      <w:bookmarkEnd w:id="4"/>
      <w:r>
        <w:rPr>
          <w:rFonts w:ascii="Arial Unicode MS" w:eastAsia="Arial Unicode MS" w:hAnsi="Arial Unicode MS" w:cs="Arial Unicode MS"/>
        </w:rPr>
        <w:t>✅ Summary:</w:t>
      </w:r>
    </w:p>
    <w:p w14:paraId="4FF709D2" w14:textId="77777777" w:rsidR="00842FD4" w:rsidRDefault="00842FD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3409AB9" w14:textId="77777777" w:rsidR="00842FD4" w:rsidRDefault="00842FD4" w:rsidP="00842FD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Contronyms can </w:t>
      </w:r>
      <w:r>
        <w:rPr>
          <w:rFonts w:ascii="Roboto Mono" w:eastAsia="Roboto Mono" w:hAnsi="Roboto Mono" w:cs="Roboto Mono"/>
          <w:b/>
        </w:rPr>
        <w:t>enrich language</w:t>
      </w:r>
      <w:r>
        <w:rPr>
          <w:rFonts w:ascii="Roboto Mono" w:eastAsia="Roboto Mono" w:hAnsi="Roboto Mono" w:cs="Roboto Mono"/>
        </w:rPr>
        <w:t xml:space="preserve"> but also introduce </w:t>
      </w:r>
      <w:r>
        <w:rPr>
          <w:rFonts w:ascii="Roboto Mono" w:eastAsia="Roboto Mono" w:hAnsi="Roboto Mono" w:cs="Roboto Mono"/>
          <w:b/>
        </w:rPr>
        <w:t>ambiguity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7C9873" w14:textId="77777777" w:rsidR="00842FD4" w:rsidRDefault="00842FD4" w:rsidP="00842FD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Understanding depends on </w:t>
      </w:r>
      <w:r>
        <w:rPr>
          <w:rFonts w:ascii="Roboto Mono" w:eastAsia="Roboto Mono" w:hAnsi="Roboto Mono" w:cs="Roboto Mono"/>
          <w:b/>
        </w:rPr>
        <w:t>context, tone, and syntax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F16D88" w14:textId="77777777" w:rsidR="00842FD4" w:rsidRDefault="00842FD4"/>
    <w:p w14:paraId="2704010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D60F5"/>
    <w:multiLevelType w:val="multilevel"/>
    <w:tmpl w:val="D1BCC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071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D4"/>
    <w:rsid w:val="002D1F4F"/>
    <w:rsid w:val="00711B4D"/>
    <w:rsid w:val="00842FD4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4C193"/>
  <w15:chartTrackingRefBased/>
  <w15:docId w15:val="{12353E24-BD09-45C5-A137-7FD56E969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