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4EB8" w14:textId="77777777" w:rsidR="0028024C" w:rsidRDefault="0028024C">
      <w:pPr>
        <w:pStyle w:val="Heading1"/>
      </w:pPr>
      <w:bookmarkStart w:id="0" w:name="_ifbpgd553g3w" w:colFirst="0" w:colLast="0"/>
      <w:bookmarkEnd w:id="0"/>
      <w:r>
        <w:t>Types of Terminology</w:t>
      </w:r>
    </w:p>
    <w:p w14:paraId="46EDC12F" w14:textId="77777777" w:rsidR="0028024C" w:rsidRDefault="0028024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2A1907D6" w14:textId="77777777" w:rsidR="0028024C" w:rsidRDefault="0028024C">
      <w:r>
        <w:rPr>
          <w:noProof/>
        </w:rPr>
        <w:drawing>
          <wp:inline distT="114300" distB="114300" distL="114300" distR="114300" wp14:anchorId="4BBF56BD" wp14:editId="066F6376">
            <wp:extent cx="5943600" cy="499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5577" w14:textId="77777777" w:rsidR="0028024C" w:rsidRDefault="0028024C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479"/>
        <w:gridCol w:w="2054"/>
        <w:gridCol w:w="2962"/>
      </w:tblGrid>
      <w:tr w:rsidR="0028024C" w14:paraId="0BCBA44E" w14:textId="77777777">
        <w:trPr>
          <w:trHeight w:val="78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7CF6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3D530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7AE3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383F" w14:textId="77777777" w:rsidR="0028024C" w:rsidRDefault="0028024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8024C" w14:paraId="1931B03D" w14:textId="77777777">
        <w:trPr>
          <w:trHeight w:val="105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AE887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Field-Specific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529F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used exclusively within a specific field or discipline.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4D7E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Photosynthesis</w:t>
            </w:r>
            <w:r>
              <w:rPr>
                <w:rFonts w:ascii="Roboto Mono" w:eastAsia="Roboto Mono" w:hAnsi="Roboto Mono" w:cs="Roboto Mono"/>
              </w:rPr>
              <w:t xml:space="preserve"> (Biology), </w:t>
            </w:r>
            <w:r>
              <w:rPr>
                <w:rFonts w:ascii="Roboto Mono" w:eastAsia="Roboto Mono" w:hAnsi="Roboto Mono" w:cs="Roboto Mono"/>
                <w:i/>
              </w:rPr>
              <w:t>Tort</w:t>
            </w:r>
            <w:r>
              <w:rPr>
                <w:rFonts w:ascii="Roboto Mono" w:eastAsia="Roboto Mono" w:hAnsi="Roboto Mono" w:cs="Roboto Mono"/>
              </w:rPr>
              <w:t xml:space="preserve"> (Law)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A94C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Context-dependent; often meaningless outside the field.</w:t>
            </w:r>
          </w:p>
        </w:tc>
      </w:tr>
      <w:tr w:rsidR="0028024C" w14:paraId="4A45E441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CFA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Technical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1C0C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terms used across multiple domains with similar meanings.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E52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System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Algorithm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Model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FF7B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 academic and technical writing.</w:t>
            </w:r>
          </w:p>
        </w:tc>
      </w:tr>
      <w:tr w:rsidR="0028024C" w14:paraId="25620E23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71E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Standardized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47B1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Official terms defined by authoritative organizations for consistency.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218D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ICD-10</w:t>
            </w:r>
            <w:r>
              <w:rPr>
                <w:rFonts w:ascii="Roboto Mono" w:eastAsia="Roboto Mono" w:hAnsi="Roboto Mono" w:cs="Roboto Mono"/>
              </w:rPr>
              <w:t xml:space="preserve"> (medicine), </w:t>
            </w:r>
            <w:r>
              <w:rPr>
                <w:rFonts w:ascii="Roboto Mono" w:eastAsia="Roboto Mono" w:hAnsi="Roboto Mono" w:cs="Roboto Mono"/>
                <w:i/>
              </w:rPr>
              <w:t>ISO 9001</w:t>
            </w:r>
            <w:r>
              <w:rPr>
                <w:rFonts w:ascii="Roboto Mono" w:eastAsia="Roboto Mono" w:hAnsi="Roboto Mono" w:cs="Roboto Mono"/>
              </w:rPr>
              <w:t xml:space="preserve"> terms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E64E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Ensures precision and clarity, often legal/medical/technical.</w:t>
            </w:r>
          </w:p>
        </w:tc>
      </w:tr>
      <w:tr w:rsidR="0028024C" w14:paraId="78FC5D33" w14:textId="77777777">
        <w:trPr>
          <w:trHeight w:val="105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195A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53DB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specific vocabulary related to a particular topic or area.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FE150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Bandwidth</w:t>
            </w:r>
            <w:r>
              <w:rPr>
                <w:rFonts w:ascii="Roboto Mono" w:eastAsia="Roboto Mono" w:hAnsi="Roboto Mono" w:cs="Roboto Mono"/>
              </w:rPr>
              <w:t xml:space="preserve"> (IT), </w:t>
            </w:r>
            <w:r>
              <w:rPr>
                <w:rFonts w:ascii="Roboto Mono" w:eastAsia="Roboto Mono" w:hAnsi="Roboto Mono" w:cs="Roboto Mono"/>
                <w:i/>
              </w:rPr>
              <w:t>Alliteration</w:t>
            </w:r>
            <w:r>
              <w:rPr>
                <w:rFonts w:ascii="Roboto Mono" w:eastAsia="Roboto Mono" w:hAnsi="Roboto Mono" w:cs="Roboto Mono"/>
              </w:rPr>
              <w:t xml:space="preserve"> (Literature)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6AFD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both field-specific and standardized terms.</w:t>
            </w:r>
          </w:p>
        </w:tc>
      </w:tr>
      <w:tr w:rsidR="0028024C" w14:paraId="4C78C366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0770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Controlled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E0A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Predefined list of terms used for indexing, retrieval, or classification.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EE02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MeSH (Medical Subject Headings)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BB4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databases, search engines, and taxonomies.</w:t>
            </w:r>
          </w:p>
        </w:tc>
      </w:tr>
      <w:tr w:rsidR="0028024C" w14:paraId="15EEFC03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FED7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Lay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4F54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version of technical terms for general public understanding.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1F7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 attack</w:t>
            </w:r>
            <w:r>
              <w:rPr>
                <w:rFonts w:ascii="Roboto Mono" w:eastAsia="Roboto Mono" w:hAnsi="Roboto Mono" w:cs="Roboto Mono"/>
              </w:rPr>
              <w:t xml:space="preserve"> vs. </w:t>
            </w:r>
            <w:r>
              <w:rPr>
                <w:rFonts w:ascii="Roboto Mono" w:eastAsia="Roboto Mono" w:hAnsi="Roboto Mono" w:cs="Roboto Mono"/>
                <w:i/>
              </w:rPr>
              <w:t>Myocardial infarction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B27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bridge expert-public communication.</w:t>
            </w:r>
          </w:p>
        </w:tc>
      </w:tr>
      <w:tr w:rsidR="0028024C" w14:paraId="4D7608DF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6B9D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 Technical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9CE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non-standard terms used by practitioners or in casual contexts.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ED1F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Bug</w:t>
            </w:r>
            <w:r>
              <w:rPr>
                <w:rFonts w:ascii="Roboto Mono" w:eastAsia="Roboto Mono" w:hAnsi="Roboto Mono" w:cs="Roboto Mono"/>
              </w:rPr>
              <w:t xml:space="preserve"> (computing), </w:t>
            </w:r>
            <w:r>
              <w:rPr>
                <w:rFonts w:ascii="Roboto Mono" w:eastAsia="Roboto Mono" w:hAnsi="Roboto Mono" w:cs="Roboto Mono"/>
                <w:i/>
              </w:rPr>
              <w:t>Crash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Lag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641B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widespread but not formally defined.</w:t>
            </w:r>
          </w:p>
        </w:tc>
      </w:tr>
      <w:tr w:rsidR="0028024C" w14:paraId="3FBEA4E0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3229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Non-Standard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433AC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that lack consensus or vary across regions or institutions.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331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 synonyms for tools or methods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7B886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cause confusion without clarification.</w:t>
            </w:r>
          </w:p>
        </w:tc>
      </w:tr>
      <w:tr w:rsidR="0028024C" w14:paraId="32CE1125" w14:textId="77777777">
        <w:trPr>
          <w:trHeight w:val="1055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080F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Emerging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E365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 terms created due to innovation, trends, or discoveries.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592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Deepfake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Metaverse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Cryptocurrency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279A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not yet standardized.</w:t>
            </w:r>
          </w:p>
        </w:tc>
      </w:tr>
      <w:tr w:rsidR="0028024C" w14:paraId="493BDAA1" w14:textId="77777777">
        <w:trPr>
          <w:trHeight w:val="1340"/>
        </w:trPr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75E2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Obsolete Terminology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36D7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Terms that are no longer used in modern discourse or replaced by new terms.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CAD8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Ether</w:t>
            </w:r>
            <w:r>
              <w:rPr>
                <w:rFonts w:ascii="Roboto Mono" w:eastAsia="Roboto Mono" w:hAnsi="Roboto Mono" w:cs="Roboto Mono"/>
              </w:rPr>
              <w:t xml:space="preserve"> (medicine), </w:t>
            </w:r>
            <w:r>
              <w:rPr>
                <w:rFonts w:ascii="Roboto Mono" w:eastAsia="Roboto Mono" w:hAnsi="Roboto Mono" w:cs="Roboto Mono"/>
                <w:i/>
              </w:rPr>
              <w:t>Videodisc</w:t>
            </w:r>
            <w:r>
              <w:rPr>
                <w:rFonts w:ascii="Roboto Mono" w:eastAsia="Roboto Mono" w:hAnsi="Roboto Mono" w:cs="Roboto Mono"/>
              </w:rPr>
              <w:t xml:space="preserve"> (technology)</w:t>
            </w:r>
          </w:p>
        </w:tc>
        <w:tc>
          <w:tcPr>
            <w:tcW w:w="29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9A29" w14:textId="77777777" w:rsidR="0028024C" w:rsidRDefault="0028024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relevance but outdated for practical use.</w:t>
            </w:r>
          </w:p>
        </w:tc>
      </w:tr>
    </w:tbl>
    <w:p w14:paraId="183F341F" w14:textId="77777777" w:rsidR="0028024C" w:rsidRDefault="0028024C"/>
    <w:p w14:paraId="496A59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4C"/>
    <w:rsid w:val="0028024C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2B38"/>
  <w15:chartTrackingRefBased/>
  <w15:docId w15:val="{8B33FBD1-AF9E-4B9B-BA59-8401B9E4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