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19998" w14:textId="77777777" w:rsidR="000E0348" w:rsidRDefault="000E0348">
      <w:pPr>
        <w:pStyle w:val="Heading1"/>
      </w:pPr>
      <w:bookmarkStart w:id="0" w:name="_ozu4nudrftff" w:colFirst="0" w:colLast="0"/>
      <w:bookmarkEnd w:id="0"/>
      <w:r>
        <w:t>General Technical Terminology</w:t>
      </w:r>
    </w:p>
    <w:p w14:paraId="4F4E1371" w14:textId="77777777" w:rsidR="000E0348" w:rsidRDefault="000E0348">
      <w:pPr>
        <w:pStyle w:val="Heading2"/>
      </w:pPr>
      <w:bookmarkStart w:id="1" w:name="_s0r1vgeps195" w:colFirst="0" w:colLast="0"/>
      <w:bookmarkEnd w:id="1"/>
      <w:r>
        <w:t>What is General Technical Terminology</w:t>
      </w:r>
    </w:p>
    <w:p w14:paraId="014CAAE0" w14:textId="77777777" w:rsidR="000E0348" w:rsidRDefault="000E034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[7/31/2025]</w:t>
      </w:r>
    </w:p>
    <w:p w14:paraId="7543F829" w14:textId="77777777" w:rsidR="000E0348" w:rsidRDefault="000E034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General Technical Terminology includes </w:t>
      </w:r>
      <w:r>
        <w:rPr>
          <w:rFonts w:ascii="Roboto Mono" w:eastAsia="Roboto Mono" w:hAnsi="Roboto Mono" w:cs="Roboto Mono"/>
          <w:b/>
        </w:rPr>
        <w:t>technical or semi-technical terms</w:t>
      </w:r>
      <w:r>
        <w:rPr>
          <w:rFonts w:ascii="Roboto Mono" w:eastAsia="Roboto Mono" w:hAnsi="Roboto Mono" w:cs="Roboto Mono"/>
        </w:rPr>
        <w:t xml:space="preserve"> that are </w:t>
      </w:r>
      <w:r>
        <w:rPr>
          <w:rFonts w:ascii="Roboto Mono" w:eastAsia="Roboto Mono" w:hAnsi="Roboto Mono" w:cs="Roboto Mono"/>
          <w:b/>
        </w:rPr>
        <w:t>not limited to a single field</w:t>
      </w:r>
      <w:r>
        <w:rPr>
          <w:rFonts w:ascii="Roboto Mono" w:eastAsia="Roboto Mono" w:hAnsi="Roboto Mono" w:cs="Roboto Mono"/>
        </w:rPr>
        <w:t xml:space="preserve"> but are </w:t>
      </w:r>
      <w:r>
        <w:rPr>
          <w:rFonts w:ascii="Roboto Mono" w:eastAsia="Roboto Mono" w:hAnsi="Roboto Mono" w:cs="Roboto Mono"/>
          <w:b/>
        </w:rPr>
        <w:t>used across multiple disciplines</w:t>
      </w:r>
      <w:r>
        <w:rPr>
          <w:rFonts w:ascii="Roboto Mono" w:eastAsia="Roboto Mono" w:hAnsi="Roboto Mono" w:cs="Roboto Mono"/>
        </w:rPr>
        <w:t xml:space="preserve">. These terms often retain a consistent meaning in various contexts and are </w:t>
      </w:r>
      <w:r>
        <w:rPr>
          <w:rFonts w:ascii="Roboto Mono" w:eastAsia="Roboto Mono" w:hAnsi="Roboto Mono" w:cs="Roboto Mono"/>
          <w:b/>
        </w:rPr>
        <w:t>commonly understood by educated users or professionals</w:t>
      </w:r>
      <w:r>
        <w:rPr>
          <w:rFonts w:ascii="Roboto Mono" w:eastAsia="Roboto Mono" w:hAnsi="Roboto Mono" w:cs="Roboto Mono"/>
        </w:rPr>
        <w:t xml:space="preserve"> in many areas.</w:t>
      </w:r>
    </w:p>
    <w:p w14:paraId="4B944437" w14:textId="77777777" w:rsidR="000E0348" w:rsidRDefault="000E0348">
      <w:r>
        <w:pict w14:anchorId="417CF1F2">
          <v:rect id="_x0000_i1025" style="width:0;height:1.5pt" o:hralign="center" o:hrstd="t" o:hr="t" fillcolor="#a0a0a0" stroked="f"/>
        </w:pict>
      </w:r>
    </w:p>
    <w:p w14:paraId="1209D903" w14:textId="77777777" w:rsidR="000E0348" w:rsidRDefault="000E0348">
      <w:pPr>
        <w:pStyle w:val="Heading2"/>
        <w:keepNext w:val="0"/>
        <w:keepLines w:val="0"/>
        <w:spacing w:before="280"/>
      </w:pPr>
      <w:bookmarkStart w:id="2" w:name="_d97s5eaw1k59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1ED6F234" w14:textId="77777777" w:rsidR="000E0348" w:rsidRDefault="000E034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[7/31/2025]</w:t>
      </w:r>
    </w:p>
    <w:p w14:paraId="37166B84" w14:textId="77777777" w:rsidR="000E0348" w:rsidRDefault="000E0348" w:rsidP="000E034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Cross-disciplinary usage</w:t>
      </w:r>
      <w:r>
        <w:rPr>
          <w:rFonts w:ascii="Roboto Mono" w:eastAsia="Roboto Mono" w:hAnsi="Roboto Mono" w:cs="Roboto Mono"/>
        </w:rPr>
        <w:t xml:space="preserve"> – shared across fields like science, engineering, computing, and business.</w:t>
      </w:r>
      <w:r>
        <w:rPr>
          <w:rFonts w:ascii="Roboto Mono" w:eastAsia="Roboto Mono" w:hAnsi="Roboto Mono" w:cs="Roboto Mono"/>
        </w:rPr>
        <w:br/>
      </w:r>
    </w:p>
    <w:p w14:paraId="72276A63" w14:textId="77777777" w:rsidR="000E0348" w:rsidRDefault="000E0348" w:rsidP="000E034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More </w:t>
      </w:r>
      <w:r>
        <w:rPr>
          <w:rFonts w:ascii="Roboto Mono" w:eastAsia="Roboto Mono" w:hAnsi="Roboto Mono" w:cs="Roboto Mono"/>
          <w:b/>
        </w:rPr>
        <w:t>accessible</w:t>
      </w:r>
      <w:r>
        <w:rPr>
          <w:rFonts w:ascii="Roboto Mono" w:eastAsia="Roboto Mono" w:hAnsi="Roboto Mono" w:cs="Roboto Mono"/>
        </w:rPr>
        <w:t xml:space="preserve"> than highly specialized terminology.</w:t>
      </w:r>
      <w:r>
        <w:rPr>
          <w:rFonts w:ascii="Roboto Mono" w:eastAsia="Roboto Mono" w:hAnsi="Roboto Mono" w:cs="Roboto Mono"/>
        </w:rPr>
        <w:br/>
      </w:r>
    </w:p>
    <w:p w14:paraId="6D294415" w14:textId="77777777" w:rsidR="000E0348" w:rsidRDefault="000E0348" w:rsidP="000E034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Frequently found in </w:t>
      </w:r>
      <w:r>
        <w:rPr>
          <w:rFonts w:ascii="Roboto Mono" w:eastAsia="Roboto Mono" w:hAnsi="Roboto Mono" w:cs="Roboto Mono"/>
          <w:b/>
        </w:rPr>
        <w:t>reports, research papers, technical manuals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interdisciplinary communication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325DE06" w14:textId="77777777" w:rsidR="000E0348" w:rsidRDefault="000E0348" w:rsidP="000E034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Typically </w:t>
      </w:r>
      <w:r>
        <w:rPr>
          <w:rFonts w:ascii="Roboto Mono" w:eastAsia="Roboto Mono" w:hAnsi="Roboto Mono" w:cs="Roboto Mono"/>
          <w:b/>
        </w:rPr>
        <w:t>standardized</w:t>
      </w:r>
      <w:r>
        <w:rPr>
          <w:rFonts w:ascii="Roboto Mono" w:eastAsia="Roboto Mono" w:hAnsi="Roboto Mono" w:cs="Roboto Mono"/>
        </w:rPr>
        <w:t>, though context may slightly shift usage.</w:t>
      </w:r>
    </w:p>
    <w:p w14:paraId="3EC38AE2" w14:textId="77777777" w:rsidR="000E0348" w:rsidRDefault="000E0348">
      <w:r>
        <w:pict w14:anchorId="715A9924">
          <v:rect id="_x0000_i1026" style="width:0;height:1.5pt" o:hralign="center" o:hrstd="t" o:hr="t" fillcolor="#a0a0a0" stroked="f"/>
        </w:pict>
      </w:r>
    </w:p>
    <w:p w14:paraId="6EB3DFDB" w14:textId="77777777" w:rsidR="000E0348" w:rsidRDefault="000E0348">
      <w:pPr>
        <w:pStyle w:val="Heading2"/>
        <w:keepNext w:val="0"/>
        <w:keepLines w:val="0"/>
        <w:spacing w:before="280"/>
      </w:pPr>
      <w:bookmarkStart w:id="3" w:name="_dvtpy4lz9ray" w:colFirst="0" w:colLast="0"/>
      <w:bookmarkEnd w:id="3"/>
      <w:r>
        <w:t>📚 Examples:</w:t>
      </w:r>
    </w:p>
    <w:p w14:paraId="059FDA03" w14:textId="77777777" w:rsidR="000E0348" w:rsidRDefault="000E034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[7/31/2025]</w:t>
      </w:r>
    </w:p>
    <w:p w14:paraId="607B4588" w14:textId="77777777" w:rsidR="000E0348" w:rsidRDefault="000E0348">
      <w:r>
        <w:rPr>
          <w:noProof/>
        </w:rPr>
        <w:drawing>
          <wp:inline distT="114300" distB="114300" distL="114300" distR="114300" wp14:anchorId="5FFDFAD4" wp14:editId="2D8C7FD7">
            <wp:extent cx="5943600" cy="2286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276532" w14:textId="77777777" w:rsidR="000E0348" w:rsidRDefault="000E0348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73"/>
        <w:gridCol w:w="3552"/>
        <w:gridCol w:w="4835"/>
      </w:tblGrid>
      <w:tr w:rsidR="000E0348" w14:paraId="60F576E5" w14:textId="77777777">
        <w:trPr>
          <w:trHeight w:val="500"/>
        </w:trPr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2137F" w14:textId="77777777" w:rsidR="000E0348" w:rsidRDefault="000E034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2AB02" w14:textId="77777777" w:rsidR="000E0348" w:rsidRDefault="000E034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In</w:t>
            </w:r>
          </w:p>
        </w:tc>
        <w:tc>
          <w:tcPr>
            <w:tcW w:w="4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72438" w14:textId="77777777" w:rsidR="000E0348" w:rsidRDefault="000E034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0E0348" w14:paraId="71E98AE0" w14:textId="77777777">
        <w:trPr>
          <w:trHeight w:val="500"/>
        </w:trPr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F2760" w14:textId="77777777" w:rsidR="000E0348" w:rsidRDefault="000E034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Data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67533" w14:textId="77777777" w:rsidR="000E0348" w:rsidRDefault="000E034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IT, science, marketing</w:t>
            </w:r>
          </w:p>
        </w:tc>
        <w:tc>
          <w:tcPr>
            <w:tcW w:w="4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B11E0" w14:textId="77777777" w:rsidR="000E0348" w:rsidRDefault="000E034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Facts or statistics for analysis</w:t>
            </w:r>
          </w:p>
        </w:tc>
      </w:tr>
      <w:tr w:rsidR="000E0348" w14:paraId="4AD1F4EB" w14:textId="77777777">
        <w:trPr>
          <w:trHeight w:val="500"/>
        </w:trPr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19EAD" w14:textId="77777777" w:rsidR="000E0348" w:rsidRDefault="000E034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Model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10A85" w14:textId="77777777" w:rsidR="000E0348" w:rsidRDefault="000E034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Engineering, science, economics</w:t>
            </w:r>
          </w:p>
        </w:tc>
        <w:tc>
          <w:tcPr>
            <w:tcW w:w="4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D6895" w14:textId="77777777" w:rsidR="000E0348" w:rsidRDefault="000E034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representation or simulation of a system</w:t>
            </w:r>
          </w:p>
        </w:tc>
      </w:tr>
      <w:tr w:rsidR="000E0348" w14:paraId="4DEBFEF2" w14:textId="77777777">
        <w:trPr>
          <w:trHeight w:val="500"/>
        </w:trPr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DBE93" w14:textId="77777777" w:rsidR="000E0348" w:rsidRDefault="000E034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Process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4FA1F" w14:textId="77777777" w:rsidR="000E0348" w:rsidRDefault="000E034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Chemistry, business, computing</w:t>
            </w:r>
          </w:p>
        </w:tc>
        <w:tc>
          <w:tcPr>
            <w:tcW w:w="4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C66AF" w14:textId="77777777" w:rsidR="000E0348" w:rsidRDefault="000E034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sequence of actions to achieve a result</w:t>
            </w:r>
          </w:p>
        </w:tc>
      </w:tr>
      <w:tr w:rsidR="000E0348" w14:paraId="673B3AEE" w14:textId="77777777">
        <w:trPr>
          <w:trHeight w:val="785"/>
        </w:trPr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06CAB" w14:textId="77777777" w:rsidR="000E0348" w:rsidRDefault="000E034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System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5DC66" w14:textId="77777777" w:rsidR="000E0348" w:rsidRDefault="000E034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IT, biology, engineering</w:t>
            </w:r>
          </w:p>
        </w:tc>
        <w:tc>
          <w:tcPr>
            <w:tcW w:w="4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50DB1" w14:textId="77777777" w:rsidR="000E0348" w:rsidRDefault="000E034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set of interconnected components working together</w:t>
            </w:r>
          </w:p>
        </w:tc>
      </w:tr>
      <w:tr w:rsidR="000E0348" w14:paraId="79255CE8" w14:textId="77777777">
        <w:trPr>
          <w:trHeight w:val="785"/>
        </w:trPr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0B192" w14:textId="77777777" w:rsidR="000E0348" w:rsidRDefault="000E034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Input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92A92" w14:textId="77777777" w:rsidR="000E0348" w:rsidRDefault="000E034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Computing, education, manufacturing</w:t>
            </w:r>
          </w:p>
        </w:tc>
        <w:tc>
          <w:tcPr>
            <w:tcW w:w="4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2F889" w14:textId="77777777" w:rsidR="000E0348" w:rsidRDefault="000E034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Resources or information entered into a process</w:t>
            </w:r>
          </w:p>
        </w:tc>
      </w:tr>
    </w:tbl>
    <w:p w14:paraId="296A38E1" w14:textId="77777777" w:rsidR="000E0348" w:rsidRDefault="000E0348">
      <w:r>
        <w:pict w14:anchorId="3BB1FE2D">
          <v:rect id="_x0000_i1027" style="width:0;height:1.5pt" o:hralign="center" o:hrstd="t" o:hr="t" fillcolor="#a0a0a0" stroked="f"/>
        </w:pict>
      </w:r>
    </w:p>
    <w:p w14:paraId="6B14C84F" w14:textId="77777777" w:rsidR="000E0348" w:rsidRDefault="000E0348">
      <w:pPr>
        <w:pStyle w:val="Heading2"/>
        <w:keepNext w:val="0"/>
        <w:keepLines w:val="0"/>
        <w:spacing w:before="280"/>
      </w:pPr>
      <w:bookmarkStart w:id="4" w:name="_gkp1rnocwdu0" w:colFirst="0" w:colLast="0"/>
      <w:bookmarkEnd w:id="4"/>
      <w:r>
        <w:t>👥 Users:</w:t>
      </w:r>
    </w:p>
    <w:p w14:paraId="17555DDC" w14:textId="77777777" w:rsidR="000E0348" w:rsidRDefault="000E034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[7/31/2025]</w:t>
      </w:r>
    </w:p>
    <w:p w14:paraId="40FE8EC6" w14:textId="77777777" w:rsidR="000E0348" w:rsidRDefault="000E0348" w:rsidP="000E0348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Multidisciplinary researchers</w:t>
      </w:r>
      <w:r>
        <w:rPr>
          <w:rFonts w:ascii="Roboto Mono" w:eastAsia="Roboto Mono" w:hAnsi="Roboto Mono" w:cs="Roboto Mono"/>
        </w:rPr>
        <w:br/>
      </w:r>
    </w:p>
    <w:p w14:paraId="00B81135" w14:textId="77777777" w:rsidR="000E0348" w:rsidRDefault="000E0348" w:rsidP="000E0348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Technical writers</w:t>
      </w:r>
      <w:r>
        <w:rPr>
          <w:rFonts w:ascii="Roboto Mono" w:eastAsia="Roboto Mono" w:hAnsi="Roboto Mono" w:cs="Roboto Mono"/>
        </w:rPr>
        <w:br/>
      </w:r>
    </w:p>
    <w:p w14:paraId="3078D879" w14:textId="77777777" w:rsidR="000E0348" w:rsidRDefault="000E0348" w:rsidP="000E0348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Educators and trainers</w:t>
      </w:r>
      <w:r>
        <w:rPr>
          <w:rFonts w:ascii="Roboto Mono" w:eastAsia="Roboto Mono" w:hAnsi="Roboto Mono" w:cs="Roboto Mono"/>
        </w:rPr>
        <w:br/>
      </w:r>
    </w:p>
    <w:p w14:paraId="271578F8" w14:textId="77777777" w:rsidR="000E0348" w:rsidRDefault="000E0348" w:rsidP="000E0348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Industry professionals across various domains</w:t>
      </w:r>
    </w:p>
    <w:p w14:paraId="7DCE8D5B" w14:textId="77777777" w:rsidR="000E0348" w:rsidRDefault="000E0348">
      <w:r>
        <w:pict w14:anchorId="3670E72E">
          <v:rect id="_x0000_i1028" style="width:0;height:1.5pt" o:hralign="center" o:hrstd="t" o:hr="t" fillcolor="#a0a0a0" stroked="f"/>
        </w:pict>
      </w:r>
    </w:p>
    <w:p w14:paraId="7811DAA6" w14:textId="77777777" w:rsidR="000E0348" w:rsidRDefault="000E0348"/>
    <w:p w14:paraId="1EEC894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D5786"/>
    <w:multiLevelType w:val="multilevel"/>
    <w:tmpl w:val="D884DA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353CD0"/>
    <w:multiLevelType w:val="multilevel"/>
    <w:tmpl w:val="6704A4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54029077">
    <w:abstractNumId w:val="0"/>
  </w:num>
  <w:num w:numId="2" w16cid:durableId="1742364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348"/>
    <w:rsid w:val="000E0348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D97CC"/>
  <w15:chartTrackingRefBased/>
  <w15:docId w15:val="{9F55A44A-4719-4F02-A612-D502AA248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0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3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3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3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3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3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3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3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3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3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3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3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