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4632" w14:textId="77777777" w:rsidR="0097129F" w:rsidRDefault="0097129F">
      <w:pPr>
        <w:pStyle w:val="Heading1"/>
      </w:pPr>
      <w:bookmarkStart w:id="0" w:name="_vyj6bbu3s92y" w:colFirst="0" w:colLast="0"/>
      <w:bookmarkEnd w:id="0"/>
      <w:r>
        <w:t>Lay Terminology</w:t>
      </w:r>
    </w:p>
    <w:p w14:paraId="47EBB84B" w14:textId="77777777" w:rsidR="0097129F" w:rsidRDefault="0097129F">
      <w:pPr>
        <w:pStyle w:val="Heading2"/>
      </w:pPr>
      <w:bookmarkStart w:id="1" w:name="_hitmaell5ff1" w:colFirst="0" w:colLast="0"/>
      <w:bookmarkEnd w:id="1"/>
      <w:r>
        <w:t>📘 What is Lay Terminology</w:t>
      </w:r>
    </w:p>
    <w:p w14:paraId="3909DDB4" w14:textId="77777777" w:rsidR="0097129F" w:rsidRDefault="00971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  <w:r>
        <w:rPr>
          <w:rFonts w:ascii="Arial" w:eastAsia="Arial" w:hAnsi="Arial"/>
          <w:b/>
          <w:sz w:val="18"/>
          <w:highlight w:val="lightGray"/>
        </w:rPr>
        <w:br/>
        <w:t>Lay Terminology</w:t>
      </w:r>
      <w:r>
        <w:rPr>
          <w:rFonts w:ascii="Arial" w:eastAsia="Arial" w:hAnsi="Arial"/>
          <w:sz w:val="18"/>
          <w:highlight w:val="lightGray"/>
        </w:rPr>
        <w:t xml:space="preserve"> refers to </w:t>
      </w:r>
      <w:r>
        <w:rPr>
          <w:rFonts w:ascii="Arial" w:eastAsia="Arial" w:hAnsi="Arial"/>
          <w:b/>
          <w:sz w:val="18"/>
          <w:highlight w:val="lightGray"/>
        </w:rPr>
        <w:t>non-technical, everyday language</w:t>
      </w:r>
      <w:r>
        <w:rPr>
          <w:rFonts w:ascii="Arial" w:eastAsia="Arial" w:hAnsi="Arial"/>
          <w:sz w:val="18"/>
          <w:highlight w:val="lightGray"/>
        </w:rPr>
        <w:t xml:space="preserve"> used by the general public to describe specialized or technical concepts in simpler terms.</w:t>
      </w:r>
    </w:p>
    <w:p w14:paraId="4A8B0EAB" w14:textId="77777777" w:rsidR="0097129F" w:rsidRDefault="0097129F">
      <w:r>
        <w:pict w14:anchorId="57446E5B">
          <v:rect id="_x0000_i1025" style="width:0;height:1.5pt" o:hralign="center" o:hrstd="t" o:hr="t" fillcolor="#a0a0a0" stroked="f"/>
        </w:pict>
      </w:r>
    </w:p>
    <w:p w14:paraId="53BE8C83" w14:textId="77777777" w:rsidR="0097129F" w:rsidRDefault="0097129F">
      <w:pPr>
        <w:pStyle w:val="Heading2"/>
        <w:keepNext w:val="0"/>
        <w:keepLines w:val="0"/>
        <w:spacing w:before="280"/>
      </w:pPr>
      <w:bookmarkStart w:id="2" w:name="_g3zyun13yyv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02167FD" w14:textId="77777777" w:rsidR="0097129F" w:rsidRDefault="00971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2C9F2C0E" w14:textId="77777777" w:rsidR="0097129F" w:rsidRDefault="0097129F">
      <w:r>
        <w:rPr>
          <w:noProof/>
        </w:rPr>
        <w:drawing>
          <wp:inline distT="114300" distB="114300" distL="114300" distR="114300" wp14:anchorId="774A851A" wp14:editId="00E133CE">
            <wp:extent cx="5943600" cy="292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995"/>
      </w:tblGrid>
      <w:tr w:rsidR="0097129F" w14:paraId="2353DE21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D213" w14:textId="77777777" w:rsidR="0097129F" w:rsidRDefault="009712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D1D90" w14:textId="77777777" w:rsidR="0097129F" w:rsidRDefault="009712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7129F" w14:paraId="5B7BE3A3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5008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3E03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non-experts</w:t>
            </w:r>
          </w:p>
        </w:tc>
      </w:tr>
      <w:tr w:rsidR="0097129F" w14:paraId="3E06277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C94B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1D5C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simplify complex or technical information for easier understanding</w:t>
            </w:r>
          </w:p>
        </w:tc>
      </w:tr>
      <w:tr w:rsidR="0097129F" w14:paraId="2B0563E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E04B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4B7A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semi-formal</w:t>
            </w:r>
          </w:p>
        </w:tc>
      </w:tr>
      <w:tr w:rsidR="0097129F" w14:paraId="5C02C0E7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8EC9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6905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less precise than technical terms but more accessible</w:t>
            </w:r>
          </w:p>
        </w:tc>
      </w:tr>
      <w:tr w:rsidR="0097129F" w14:paraId="2E979B0A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40D2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AF81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"Heart attack" (vs. </w:t>
            </w:r>
            <w:r>
              <w:rPr>
                <w:rFonts w:ascii="Roboto Mono" w:eastAsia="Roboto Mono" w:hAnsi="Roboto Mono" w:cs="Roboto Mono"/>
                <w:i/>
              </w:rPr>
              <w:t>myocardial infarction</w:t>
            </w:r>
            <w:r>
              <w:rPr>
                <w:rFonts w:ascii="Roboto Mono" w:eastAsia="Roboto Mono" w:hAnsi="Roboto Mono" w:cs="Roboto Mono"/>
              </w:rPr>
              <w:t xml:space="preserve">) - "Broken bone" (vs. </w:t>
            </w:r>
            <w:r>
              <w:rPr>
                <w:rFonts w:ascii="Roboto Mono" w:eastAsia="Roboto Mono" w:hAnsi="Roboto Mono" w:cs="Roboto Mono"/>
                <w:i/>
              </w:rPr>
              <w:t>fracture</w:t>
            </w:r>
            <w:r>
              <w:rPr>
                <w:rFonts w:ascii="Roboto Mono" w:eastAsia="Roboto Mono" w:hAnsi="Roboto Mono" w:cs="Roboto Mono"/>
              </w:rPr>
              <w:t xml:space="preserve">) - "High blood pressure" (vs. </w:t>
            </w:r>
            <w:r>
              <w:rPr>
                <w:rFonts w:ascii="Roboto Mono" w:eastAsia="Roboto Mono" w:hAnsi="Roboto Mono" w:cs="Roboto Mono"/>
                <w:i/>
              </w:rPr>
              <w:t>hypertension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97129F" w14:paraId="4002FB7D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AACC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179F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education, media, patient communication, user manuals, journalism</w:t>
            </w:r>
          </w:p>
        </w:tc>
      </w:tr>
      <w:tr w:rsidR="0097129F" w14:paraId="02B7E321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C440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 to Technical Terms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9CEC" w14:textId="77777777" w:rsidR="0097129F" w:rsidRDefault="009712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represents a simplified or rephrased version of a technical term</w:t>
            </w:r>
          </w:p>
        </w:tc>
      </w:tr>
    </w:tbl>
    <w:p w14:paraId="639110D9" w14:textId="77777777" w:rsidR="0097129F" w:rsidRDefault="0097129F">
      <w:r>
        <w:pict w14:anchorId="5A8D14F7">
          <v:rect id="_x0000_i1026" style="width:0;height:1.5pt" o:hralign="center" o:hrstd="t" o:hr="t" fillcolor="#a0a0a0" stroked="f"/>
        </w:pict>
      </w:r>
    </w:p>
    <w:p w14:paraId="4F4046F3" w14:textId="77777777" w:rsidR="0097129F" w:rsidRDefault="0097129F">
      <w:pPr>
        <w:pStyle w:val="Heading2"/>
        <w:keepNext w:val="0"/>
        <w:keepLines w:val="0"/>
        <w:spacing w:before="280"/>
      </w:pPr>
      <w:bookmarkStart w:id="3" w:name="_ttpa8su3b7kz" w:colFirst="0" w:colLast="0"/>
      <w:bookmarkEnd w:id="3"/>
      <w:r>
        <w:t>🧠 Summary:</w:t>
      </w:r>
    </w:p>
    <w:p w14:paraId="6FEEBB41" w14:textId="77777777" w:rsidR="0097129F" w:rsidRDefault="00971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3492AACB" w14:textId="77777777" w:rsidR="0097129F" w:rsidRDefault="00971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Lay terminology bridges the gap between </w:t>
      </w:r>
      <w:r>
        <w:rPr>
          <w:rFonts w:ascii="Roboto Mono" w:eastAsia="Roboto Mono" w:hAnsi="Roboto Mono" w:cs="Roboto Mono"/>
          <w:b/>
        </w:rPr>
        <w:t>specialists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non-experts</w:t>
      </w:r>
      <w:r>
        <w:rPr>
          <w:rFonts w:ascii="Roboto Mono" w:eastAsia="Roboto Mono" w:hAnsi="Roboto Mono" w:cs="Roboto Mono"/>
        </w:rPr>
        <w:t>, helping ensure clear communication with audiences unfamiliar with the technical jargon.</w:t>
      </w:r>
    </w:p>
    <w:p w14:paraId="79AF0316" w14:textId="77777777" w:rsidR="0097129F" w:rsidRDefault="0097129F"/>
    <w:p w14:paraId="4A165EE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9F"/>
    <w:rsid w:val="002D1F4F"/>
    <w:rsid w:val="00711B4D"/>
    <w:rsid w:val="008952B3"/>
    <w:rsid w:val="0097129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C01E"/>
  <w15:chartTrackingRefBased/>
  <w15:docId w15:val="{5CB667A3-A671-4136-8C4C-6F99E55D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