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D80EB" w14:textId="77777777" w:rsidR="00462A74" w:rsidRDefault="00462A74" w:rsidP="008E2F2E">
      <w:pPr>
        <w:pStyle w:val="Heading1"/>
      </w:pPr>
      <w:bookmarkStart w:id="0" w:name="_si7xjphw3v2j" w:colFirst="0" w:colLast="0"/>
      <w:bookmarkEnd w:id="0"/>
      <w:r>
        <w:t>Gerund Phrase as Head</w:t>
      </w:r>
    </w:p>
    <w:p w14:paraId="5307B254" w14:textId="77777777" w:rsidR="00462A74" w:rsidRDefault="00462A74" w:rsidP="008E2F2E">
      <w:pPr>
        <w:pStyle w:val="Heading2"/>
      </w:pPr>
      <w:bookmarkStart w:id="1" w:name="_lfs8axl4tupz" w:colFirst="0" w:colLast="0"/>
      <w:bookmarkEnd w:id="1"/>
      <w:r>
        <w:t>🟩 What is Gerund Phrase as Head?</w:t>
      </w:r>
    </w:p>
    <w:p w14:paraId="69511D33" w14:textId="77777777" w:rsidR="00462A74" w:rsidRDefault="00462A74" w:rsidP="008E2F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7DA21D0" w14:textId="77777777" w:rsidR="00462A74" w:rsidRDefault="00462A74" w:rsidP="008E2F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Gerund Phrase</w:t>
      </w:r>
      <w:r>
        <w:rPr>
          <w:rFonts w:ascii="Roboto Mono" w:eastAsia="Roboto Mono" w:hAnsi="Roboto Mono" w:cs="Roboto Mono"/>
        </w:rPr>
        <w:t xml:space="preserve"> is a type of phrase built around a </w:t>
      </w:r>
      <w:r>
        <w:rPr>
          <w:rFonts w:ascii="Roboto Mono" w:eastAsia="Roboto Mono" w:hAnsi="Roboto Mono" w:cs="Roboto Mono"/>
          <w:b/>
        </w:rPr>
        <w:t>gerund</w:t>
      </w:r>
      <w:r>
        <w:rPr>
          <w:rFonts w:ascii="Roboto Mono" w:eastAsia="Roboto Mono" w:hAnsi="Roboto Mono" w:cs="Roboto Mono"/>
        </w:rPr>
        <w:t xml:space="preserve">, which is a verb in its </w:t>
      </w:r>
      <w:r>
        <w:rPr>
          <w:rFonts w:ascii="Roboto Mono" w:eastAsia="Roboto Mono" w:hAnsi="Roboto Mono" w:cs="Roboto Mono"/>
          <w:b/>
        </w:rPr>
        <w:t>-ing</w:t>
      </w:r>
      <w:r>
        <w:rPr>
          <w:rFonts w:ascii="Roboto Mono" w:eastAsia="Roboto Mono" w:hAnsi="Roboto Mono" w:cs="Roboto Mono"/>
        </w:rPr>
        <w:t xml:space="preserve"> form functioning as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. In this phrase,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gerund</w:t>
      </w:r>
      <w:r>
        <w:rPr>
          <w:rFonts w:ascii="Roboto Mono" w:eastAsia="Roboto Mono" w:hAnsi="Roboto Mono" w:cs="Roboto Mono"/>
        </w:rPr>
        <w:t xml:space="preserve"> itself.</w:t>
      </w:r>
    </w:p>
    <w:p w14:paraId="3650252B" w14:textId="77777777" w:rsidR="00462A74" w:rsidRDefault="00462A74" w:rsidP="008E2F2E">
      <w:r>
        <w:pict w14:anchorId="1774A981">
          <v:rect id="_x0000_i1025" style="width:0;height:1.5pt" o:hralign="center" o:hrstd="t" o:hr="t" fillcolor="#a0a0a0" stroked="f"/>
        </w:pict>
      </w:r>
    </w:p>
    <w:p w14:paraId="3BAEBF15" w14:textId="77777777" w:rsidR="00462A74" w:rsidRDefault="00462A74" w:rsidP="008E2F2E">
      <w:pPr>
        <w:pStyle w:val="Heading2"/>
        <w:keepNext w:val="0"/>
        <w:keepLines w:val="0"/>
        <w:spacing w:before="280"/>
      </w:pPr>
      <w:bookmarkStart w:id="2" w:name="_5rh7772hazgl" w:colFirst="0" w:colLast="0"/>
      <w:bookmarkEnd w:id="2"/>
      <w:r>
        <w:t>🔹 Structure of a Gerund Phrase</w:t>
      </w:r>
    </w:p>
    <w:p w14:paraId="39E56803" w14:textId="77777777" w:rsidR="00462A74" w:rsidRDefault="00462A74" w:rsidP="008E2F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0D41DB2" w14:textId="77777777" w:rsidR="00462A74" w:rsidRDefault="00462A74" w:rsidP="008E2F2E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[gerund] + (optional objects, modifiers, or complements)</w:t>
      </w:r>
    </w:p>
    <w:p w14:paraId="54841100" w14:textId="77777777" w:rsidR="00462A74" w:rsidRDefault="00462A74" w:rsidP="008E2F2E">
      <w:pPr>
        <w:rPr>
          <w:rFonts w:ascii="Roboto Mono" w:eastAsia="Roboto Mono" w:hAnsi="Roboto Mono" w:cs="Roboto Mono"/>
        </w:rPr>
      </w:pPr>
    </w:p>
    <w:p w14:paraId="698D16F2" w14:textId="77777777" w:rsidR="00462A74" w:rsidRDefault="00462A74" w:rsidP="008E2F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</w:t>
      </w:r>
      <w:r>
        <w:rPr>
          <w:rFonts w:ascii="Roboto Mono" w:eastAsia="Roboto Mono" w:hAnsi="Roboto Mono" w:cs="Roboto Mono"/>
        </w:rPr>
        <w:t>:</w:t>
      </w:r>
    </w:p>
    <w:p w14:paraId="64B63BF8" w14:textId="77777777" w:rsidR="00462A74" w:rsidRDefault="00462A74" w:rsidP="00462A74">
      <w:pPr>
        <w:numPr>
          <w:ilvl w:val="0"/>
          <w:numId w:val="2"/>
        </w:numPr>
        <w:spacing w:before="240" w:after="240" w:line="276" w:lineRule="auto"/>
      </w:pPr>
      <w:r>
        <w:rPr>
          <w:rFonts w:ascii="Roboto Mono" w:eastAsia="Roboto Mono" w:hAnsi="Roboto Mono" w:cs="Roboto Mono"/>
          <w:i/>
        </w:rPr>
        <w:t>running a marathon</w:t>
      </w:r>
      <w:r>
        <w:rPr>
          <w:rFonts w:ascii="Nova Mono" w:eastAsia="Nova Mono" w:hAnsi="Nova Mono" w:cs="Nova Mono"/>
        </w:rPr>
        <w:t xml:space="preserve"> → </w:t>
      </w:r>
      <w:r>
        <w:rPr>
          <w:rFonts w:ascii="Roboto Mono" w:eastAsia="Roboto Mono" w:hAnsi="Roboto Mono" w:cs="Roboto Mono"/>
          <w:b/>
        </w:rPr>
        <w:t>"running"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>, and "a marathon" is the object.</w:t>
      </w:r>
    </w:p>
    <w:p w14:paraId="3E27952D" w14:textId="77777777" w:rsidR="00462A74" w:rsidRDefault="00462A74" w:rsidP="008E2F2E">
      <w:r>
        <w:pict w14:anchorId="7197811E">
          <v:rect id="_x0000_i1026" style="width:0;height:1.5pt" o:hralign="center" o:hrstd="t" o:hr="t" fillcolor="#a0a0a0" stroked="f"/>
        </w:pict>
      </w:r>
    </w:p>
    <w:p w14:paraId="0F92B166" w14:textId="77777777" w:rsidR="00462A74" w:rsidRDefault="00462A74" w:rsidP="008E2F2E">
      <w:pPr>
        <w:pStyle w:val="Heading2"/>
        <w:keepNext w:val="0"/>
        <w:keepLines w:val="0"/>
        <w:spacing w:before="280"/>
      </w:pPr>
      <w:bookmarkStart w:id="3" w:name="_ilj3fipdvsmq" w:colFirst="0" w:colLast="0"/>
      <w:bookmarkEnd w:id="3"/>
      <w:r>
        <w:t>🔹 Function of the Head in a Gerund Phrase</w:t>
      </w:r>
    </w:p>
    <w:p w14:paraId="09AC4590" w14:textId="77777777" w:rsidR="00462A74" w:rsidRDefault="00462A74" w:rsidP="008E2F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0F55EEF" w14:textId="77777777" w:rsidR="00462A74" w:rsidRDefault="00462A74" w:rsidP="008E2F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gerund (head)</w:t>
      </w:r>
      <w:r>
        <w:rPr>
          <w:rFonts w:ascii="Roboto Mono" w:eastAsia="Roboto Mono" w:hAnsi="Roboto Mono" w:cs="Roboto Mono"/>
        </w:rPr>
        <w:t xml:space="preserve"> acts like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>, so the whole gerund phrase can serve typical noun roles:</w:t>
      </w:r>
    </w:p>
    <w:p w14:paraId="5047C473" w14:textId="77777777" w:rsidR="00462A74" w:rsidRDefault="00462A74" w:rsidP="00462A74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  <w:b/>
        </w:rPr>
        <w:br/>
      </w:r>
    </w:p>
    <w:p w14:paraId="6C485082" w14:textId="77777777" w:rsidR="00462A74" w:rsidRDefault="00462A74" w:rsidP="00462A74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Object</w:t>
      </w:r>
      <w:r>
        <w:rPr>
          <w:rFonts w:ascii="Roboto Mono" w:eastAsia="Roboto Mono" w:hAnsi="Roboto Mono" w:cs="Roboto Mono"/>
          <w:b/>
        </w:rPr>
        <w:br/>
      </w:r>
    </w:p>
    <w:p w14:paraId="2D45782C" w14:textId="77777777" w:rsidR="00462A74" w:rsidRDefault="00462A74" w:rsidP="00462A7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Complement</w:t>
      </w:r>
    </w:p>
    <w:p w14:paraId="5D200E05" w14:textId="77777777" w:rsidR="00462A74" w:rsidRDefault="00462A74" w:rsidP="008E2F2E">
      <w:r>
        <w:pict w14:anchorId="5C415222">
          <v:rect id="_x0000_i1027" style="width:0;height:1.5pt" o:hralign="center" o:hrstd="t" o:hr="t" fillcolor="#a0a0a0" stroked="f"/>
        </w:pict>
      </w:r>
    </w:p>
    <w:p w14:paraId="31C6AE15" w14:textId="77777777" w:rsidR="00462A74" w:rsidRDefault="00462A74" w:rsidP="008E2F2E">
      <w:pPr>
        <w:pStyle w:val="Heading2"/>
        <w:keepNext w:val="0"/>
        <w:keepLines w:val="0"/>
        <w:spacing w:before="280"/>
      </w:pPr>
      <w:bookmarkStart w:id="4" w:name="_m0fwsqwdhfbs" w:colFirst="0" w:colLast="0"/>
      <w:bookmarkEnd w:id="4"/>
      <w:r>
        <w:t>🔹 Examples by Function</w:t>
      </w:r>
    </w:p>
    <w:p w14:paraId="2E11346C" w14:textId="77777777" w:rsidR="00462A74" w:rsidRDefault="00462A74" w:rsidP="008E2F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514D013" w14:textId="77777777" w:rsidR="00462A74" w:rsidRDefault="00462A74" w:rsidP="008E2F2E">
      <w:r>
        <w:rPr>
          <w:noProof/>
        </w:rPr>
        <w:drawing>
          <wp:inline distT="114300" distB="114300" distL="114300" distR="114300" wp14:anchorId="338B9370" wp14:editId="0CA3F812">
            <wp:extent cx="5943600" cy="1765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9"/>
        <w:gridCol w:w="2373"/>
        <w:gridCol w:w="1218"/>
        <w:gridCol w:w="3630"/>
      </w:tblGrid>
      <w:tr w:rsidR="00462A74" w14:paraId="53283ECD" w14:textId="77777777" w:rsidTr="0000436D">
        <w:trPr>
          <w:trHeight w:val="500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F559F" w14:textId="77777777" w:rsidR="00462A74" w:rsidRDefault="00462A74" w:rsidP="0000436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4A41B" w14:textId="77777777" w:rsidR="00462A74" w:rsidRDefault="00462A74" w:rsidP="0000436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Gerund Phrase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8767F" w14:textId="77777777" w:rsidR="00462A74" w:rsidRDefault="00462A74" w:rsidP="0000436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6EC6A" w14:textId="77777777" w:rsidR="00462A74" w:rsidRDefault="00462A74" w:rsidP="0000436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Example</w:t>
            </w:r>
          </w:p>
        </w:tc>
      </w:tr>
      <w:tr w:rsidR="00462A74" w14:paraId="3D85F247" w14:textId="77777777" w:rsidTr="0000436D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E2354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E1F30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swimming every morning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F4DD5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swimming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8C3D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Swimming every morning keeps me healthy.</w:t>
            </w:r>
          </w:p>
        </w:tc>
      </w:tr>
      <w:tr w:rsidR="00462A74" w14:paraId="6BCB74C4" w14:textId="77777777" w:rsidTr="0000436D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C59C5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Direct Object</w:t>
            </w:r>
          </w:p>
        </w:tc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BB73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watching documentaries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FFF4B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watching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1DC40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 enjoys watching documentaries.</w:t>
            </w:r>
          </w:p>
        </w:tc>
      </w:tr>
      <w:tr w:rsidR="00462A74" w14:paraId="70B9A807" w14:textId="77777777" w:rsidTr="0000436D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B6428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 Complement</w:t>
            </w:r>
          </w:p>
        </w:tc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E5489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cooking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DC4F1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cooking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91BBB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Her passion is cooking.</w:t>
            </w:r>
          </w:p>
        </w:tc>
      </w:tr>
      <w:tr w:rsidR="00462A74" w14:paraId="32426479" w14:textId="77777777" w:rsidTr="0000436D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FFF3E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 of Preposition</w:t>
            </w:r>
          </w:p>
        </w:tc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BA2C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in bed</w:t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62338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1F149" w14:textId="77777777" w:rsidR="00462A74" w:rsidRDefault="00462A74" w:rsidP="0000436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She’s interested in reading in bed.</w:t>
            </w:r>
          </w:p>
        </w:tc>
      </w:tr>
    </w:tbl>
    <w:p w14:paraId="38153F76" w14:textId="77777777" w:rsidR="00462A74" w:rsidRDefault="00462A74" w:rsidP="008E2F2E">
      <w:r>
        <w:pict w14:anchorId="50F8D477">
          <v:rect id="_x0000_i1028" style="width:0;height:1.5pt" o:hralign="center" o:hrstd="t" o:hr="t" fillcolor="#a0a0a0" stroked="f"/>
        </w:pict>
      </w:r>
    </w:p>
    <w:p w14:paraId="223072FA" w14:textId="77777777" w:rsidR="00462A74" w:rsidRDefault="00462A74" w:rsidP="008E2F2E">
      <w:pPr>
        <w:pStyle w:val="Heading2"/>
        <w:keepNext w:val="0"/>
        <w:keepLines w:val="0"/>
        <w:spacing w:before="280"/>
      </w:pPr>
      <w:bookmarkStart w:id="5" w:name="_nx8jsf6u7afa" w:colFirst="0" w:colLast="0"/>
      <w:bookmarkEnd w:id="5"/>
      <w:r>
        <w:rPr>
          <w:rFonts w:ascii="Arial Unicode MS" w:eastAsia="Arial Unicode MS" w:hAnsi="Arial Unicode MS" w:cs="Arial Unicode MS"/>
        </w:rPr>
        <w:t>✅ Key Points:</w:t>
      </w:r>
    </w:p>
    <w:p w14:paraId="37B7A3E2" w14:textId="77777777" w:rsidR="00462A74" w:rsidRDefault="00462A74" w:rsidP="008E2F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B16DE62" w14:textId="77777777" w:rsidR="00462A74" w:rsidRDefault="00462A74" w:rsidP="00462A7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head of a gerund phrase</w:t>
      </w:r>
      <w:r>
        <w:rPr>
          <w:rFonts w:ascii="Roboto Mono" w:eastAsia="Roboto Mono" w:hAnsi="Roboto Mono" w:cs="Roboto Mono"/>
        </w:rPr>
        <w:t xml:space="preserve"> is always the </w:t>
      </w:r>
      <w:r>
        <w:rPr>
          <w:rFonts w:ascii="Roboto Mono" w:eastAsia="Roboto Mono" w:hAnsi="Roboto Mono" w:cs="Roboto Mono"/>
          <w:b/>
        </w:rPr>
        <w:t>gerund</w:t>
      </w:r>
      <w:r>
        <w:rPr>
          <w:rFonts w:ascii="Roboto Mono" w:eastAsia="Roboto Mono" w:hAnsi="Roboto Mono" w:cs="Roboto Mono"/>
        </w:rPr>
        <w:t xml:space="preserve"> (a verb ending in </w:t>
      </w:r>
      <w:r>
        <w:rPr>
          <w:rFonts w:ascii="Roboto Mono" w:eastAsia="Roboto Mono" w:hAnsi="Roboto Mono" w:cs="Roboto Mono"/>
          <w:b/>
        </w:rPr>
        <w:t>-ing</w:t>
      </w:r>
      <w:r>
        <w:rPr>
          <w:rFonts w:ascii="Roboto Mono" w:eastAsia="Roboto Mono" w:hAnsi="Roboto Mono" w:cs="Roboto Mono"/>
        </w:rPr>
        <w:t>, used as a noun).</w:t>
      </w:r>
      <w:r>
        <w:rPr>
          <w:rFonts w:ascii="Roboto Mono" w:eastAsia="Roboto Mono" w:hAnsi="Roboto Mono" w:cs="Roboto Mono"/>
        </w:rPr>
        <w:br/>
      </w:r>
    </w:p>
    <w:p w14:paraId="575E21CD" w14:textId="77777777" w:rsidR="00462A74" w:rsidRDefault="00462A74" w:rsidP="00462A7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entire phrase behaves as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in the sentence.</w:t>
      </w:r>
      <w:r>
        <w:rPr>
          <w:rFonts w:ascii="Roboto Mono" w:eastAsia="Roboto Mono" w:hAnsi="Roboto Mono" w:cs="Roboto Mono"/>
        </w:rPr>
        <w:br/>
      </w:r>
    </w:p>
    <w:p w14:paraId="5143AB42" w14:textId="77777777" w:rsidR="00462A74" w:rsidRDefault="00462A74" w:rsidP="00462A7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gerund phrase can contain:</w:t>
      </w:r>
      <w:r>
        <w:rPr>
          <w:rFonts w:ascii="Roboto Mono" w:eastAsia="Roboto Mono" w:hAnsi="Roboto Mono" w:cs="Roboto Mono"/>
        </w:rPr>
        <w:br/>
      </w:r>
    </w:p>
    <w:p w14:paraId="2C0DF17F" w14:textId="77777777" w:rsidR="00462A74" w:rsidRDefault="00462A74" w:rsidP="00462A74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Modifiers</w:t>
      </w:r>
      <w:r>
        <w:rPr>
          <w:rFonts w:ascii="Roboto Mono" w:eastAsia="Roboto Mono" w:hAnsi="Roboto Mono" w:cs="Roboto Mono"/>
        </w:rPr>
        <w:t xml:space="preserve"> (e.g., adverbs)</w:t>
      </w:r>
      <w:r>
        <w:rPr>
          <w:rFonts w:ascii="Roboto Mono" w:eastAsia="Roboto Mono" w:hAnsi="Roboto Mono" w:cs="Roboto Mono"/>
        </w:rPr>
        <w:br/>
      </w:r>
    </w:p>
    <w:p w14:paraId="2DF66BE8" w14:textId="77777777" w:rsidR="00462A74" w:rsidRDefault="00462A74" w:rsidP="00462A74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Objects</w:t>
      </w:r>
      <w:r>
        <w:rPr>
          <w:rFonts w:ascii="Roboto Mono" w:eastAsia="Roboto Mono" w:hAnsi="Roboto Mono" w:cs="Roboto Mono"/>
        </w:rPr>
        <w:t xml:space="preserve"> (e.g., noun phrases)</w:t>
      </w:r>
      <w:r>
        <w:rPr>
          <w:rFonts w:ascii="Roboto Mono" w:eastAsia="Roboto Mono" w:hAnsi="Roboto Mono" w:cs="Roboto Mono"/>
        </w:rPr>
        <w:br/>
      </w:r>
    </w:p>
    <w:p w14:paraId="619663CB" w14:textId="77777777" w:rsidR="00462A74" w:rsidRDefault="00462A74" w:rsidP="00462A74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Prepositional phrases</w:t>
      </w:r>
    </w:p>
    <w:p w14:paraId="617F4BA5" w14:textId="77777777" w:rsidR="00462A74" w:rsidRDefault="00462A74" w:rsidP="008E2F2E">
      <w:r>
        <w:pict w14:anchorId="74FBCB91">
          <v:rect id="_x0000_i1029" style="width:0;height:1.5pt" o:hralign="center" o:hrstd="t" o:hr="t" fillcolor="#a0a0a0" stroked="f"/>
        </w:pict>
      </w:r>
    </w:p>
    <w:p w14:paraId="6B85DE2B" w14:textId="77777777" w:rsidR="00462A74" w:rsidRDefault="00462A74" w:rsidP="008E2F2E"/>
    <w:p w14:paraId="09A900AD" w14:textId="77777777" w:rsidR="00462A74" w:rsidRDefault="00462A74"/>
    <w:p w14:paraId="578D092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36F0"/>
    <w:multiLevelType w:val="multilevel"/>
    <w:tmpl w:val="A37C7E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1017C8"/>
    <w:multiLevelType w:val="multilevel"/>
    <w:tmpl w:val="F9140A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550645"/>
    <w:multiLevelType w:val="multilevel"/>
    <w:tmpl w:val="61406A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67951975">
    <w:abstractNumId w:val="1"/>
  </w:num>
  <w:num w:numId="2" w16cid:durableId="575626245">
    <w:abstractNumId w:val="2"/>
  </w:num>
  <w:num w:numId="3" w16cid:durableId="1783067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A74"/>
    <w:rsid w:val="002D1F4F"/>
    <w:rsid w:val="00462A74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06236"/>
  <w15:chartTrackingRefBased/>
  <w15:docId w15:val="{A6F30B0E-8009-4983-AC70-09D9683C5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2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A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A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A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2A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A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A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A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A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A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A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A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A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A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A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A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A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