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eoryxtitixol" w:id="0"/>
      <w:bookmarkEnd w:id="0"/>
      <w:r w:rsidDel="00000000" w:rsidR="00000000" w:rsidRPr="00000000">
        <w:rPr>
          <w:b w:val="1"/>
          <w:rtl w:val="0"/>
        </w:rPr>
        <w:t xml:space="preserve">ISTQB Foundation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rn6koieib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ISTQB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International Software Testing Qualifications Board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 global organization that defines and manages standardized certifications for software testers.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Foundation Level (FL)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entry-level certification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their scheme.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8lgej166m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ISTQB Foundation Level certification proves you have a solid understanding of: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Basic software testing concepts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terminology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Roles and responsibilities in testing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Common testing techniques and processes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relationship between testing and software development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j78h74mxe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Who it’s for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Beginners in software testing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Developers, QA engineers, project managers, and business analysts who want to understand testing basics.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People aiming to move into a testing career.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1810f3dpg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Topics in ISTQB_FL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Fundamentals of Testing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Why testing is needed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principles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vs. debugging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Software Development Lifecycle &amp; Testing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in Waterfall, Agile, and other models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 levels &amp; test types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Static Testing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Reviews, walkthroughs, inspections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Design Techniques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Black-box: equivalence partitioning, boundary value analysis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White-box: statement/decision coverage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Test Management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Planning, estimating, monitoring, reporting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Tool Support for Testing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Types of test tools (management, execution, performance, etc.)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ISTQB_FL is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internationally recognized entry-level certification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for software testing, covering the essential principles, processes, and techniques.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