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ruj7lqpvy3j0" w:id="0"/>
      <w:bookmarkEnd w:id="0"/>
      <w:r w:rsidDel="00000000" w:rsidR="00000000" w:rsidRPr="00000000">
        <w:rPr>
          <w:rtl w:val="0"/>
        </w:rPr>
        <w:t xml:space="preserve">Test Manager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bcb5u1l406u9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person responsible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planning, coordinating, monitoring, and controlling all testing activities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within a project. This role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ensuring the testing process meets project objectives, quality standards, and timelines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2h2ejlu9hax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Planning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strategy, scope, objectives, and 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required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resources, tools, and environments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Team Management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Allocate tasks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testers, leads, and analysts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Monitor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team performance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provide guidance.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Monitoring and Control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Track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progress, defects, and coverage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metrics and 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stakeholders.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Take corrective actions if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falls behind 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Management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risks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plan mitigation strategies.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Assurance and Compliance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testing follows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standards, processes, and regulatory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that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deliverables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(plans, reports, scripts) are complete.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Stakeholder Communication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Communicate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status, risks, and test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project managers, business stakeholders, and QA leadership.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55x8i843pivv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Strong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leadership and people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skills.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knowledge (scheduling, resource allocation).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assessment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problem-solving.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management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JIRA, TestRail, HP ALM).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Good understanding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development and testing life 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kio4mcaal7m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Strategy Document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Progress Reports / Metrics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Summary Reports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Completion/Sign-off Reports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9karxu1ojmah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Manager = Plans + Leads + Monitors + Reports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