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hu881duhzntm" w:id="0"/>
      <w:bookmarkEnd w:id="0"/>
      <w:r w:rsidDel="00000000" w:rsidR="00000000" w:rsidRPr="00000000">
        <w:rPr>
          <w:rtl w:val="0"/>
        </w:rPr>
        <w:t xml:space="preserve">Test Analyst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5xjo6l6hzent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(sometimes called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is responsible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analyzing requirements and designing detailed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the software meets business and functional requirements.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to test and how to test 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rather than managing the overall testing process.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Works closely with business analysts, developers, and testers to 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coverage of all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6a7w5hus4l0a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 Analysis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business, functional, and non-functional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gaps, ambiguities, or inconsistencies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requirements.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Design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scenarios, test conditions, and detailed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coverage for all functional and business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each test.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 Preparation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data 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executing test cases.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developers, testers, and business analysts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clarify requirements.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Assist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teams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understanding test cases.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and Optimization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 test cases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completeness and effectiveness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Optimize test cases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maximum coverage and efficiency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bfksynkxdh7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Strong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analytical skills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understand requirements.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Knowledge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 techniques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(equivalence partitioning, boundary value analysis, decision tables, etc.).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Attention to detail.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Good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communication skills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clarify requirements with stakeholders.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Familiarity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 management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JIRA, DOORS).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3cpqtvf9xp3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Scenarios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Detailed Test Cases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 Sets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 Matrix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(mapping requirements to test cases)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6alqmq9yh6tg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Test Analyst = Understand requirements → Design test cases → Ensure coverage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