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i7vl1pdu4v4p" w:id="0"/>
      <w:bookmarkEnd w:id="0"/>
      <w:r w:rsidDel="00000000" w:rsidR="00000000" w:rsidRPr="00000000">
        <w:rPr>
          <w:rtl w:val="0"/>
        </w:rPr>
        <w:t xml:space="preserve">Defect Manager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whv4lgqq0zv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responsible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tracking, managing, and prioritizing defects/bugs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throughout the software development and testing lifecycle.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 are properly recorded, analyzed, and resolved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efficiently.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Acts as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central point of communication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between QA, development, and project management regarding defect status.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327mxotqc6o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Tracking &amp; Logging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all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 are accurately reported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defect tracking system (e.g., JIRA, Bugzilla).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metadata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(severity, priority, module, steps to reproduce).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Analysis &amp; Prioritization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Assess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impact and severity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defects.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 assign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priority and ownership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resolution.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Monitoring &amp; Reporting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Track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progress, and resolution timelines.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summary and trend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stakeholders.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closely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Managers, Testers, Developers, and Business Analysts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Facilitate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review meetings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prioritize fixes and resolve disputes.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Improvement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common defect patterns or root causes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Suggest improvements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development or testing processes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av66k38gly8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Strong understanding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development and testing lifecycle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tracking and reporting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Analytical skills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assess defect impact and trends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Good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communication and coordination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skills.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aueckd6px75x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Logs / Reports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Status Dashboards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Trend Analysis Reports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Recommendations for Process Improvement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id3cow68tl7k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Manager = Track + Prioritize + Report + Coordinate defects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Note: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Defect Manager does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fix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but ensures they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logged, tracked, prioritized, and communicated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effectively.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assurance and project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decision-making.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