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273oe7j6x3s" w:id="0"/>
      <w:bookmarkEnd w:id="0"/>
      <w:r w:rsidDel="00000000" w:rsidR="00000000" w:rsidRPr="00000000">
        <w:rPr>
          <w:rtl w:val="0"/>
        </w:rPr>
        <w:t xml:space="preserve">Review Types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 are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 review types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according to ISTQB and real-world practice, moving from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2gr54aopb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Informal Review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Unstructured, lightweight review with no formal process or documentation.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Quickly spot obvious issues.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Who’s Involved: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Anyone available — often a peer or stakeholder.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developer asks a teammate to “take a quick look” at a code snippet.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Fast, low effort.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May miss deeper issues, no formal record.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vvivy2bv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Walkthrough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Author of the artifact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walks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participants through it to explain and get feedback.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Share understanding, find issues, collect suggestions.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Who’s Involved: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Author + peers + stakeholders (optional).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business analyst demonstrates a process flow to product owners to confirm it matches requirements.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Good for knowledge sharing.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Quality depends on author’s presentation.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t7bdqy7u5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Technical Review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Peer review focused on technical correctness and adherence to standards.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Detect defects from a technical perspective.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Who’s Involved: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Technical experts, peers, architect.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Reviewing a UML class diagram to ensure it matches design patterns and system architecture.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Improves technical quality early.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May not address business needs directly.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vs7rz3cpu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Inspection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formal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 type with a defined process, roles, checklists, and defect logging.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Find defects with high rigor and documentation.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Who’s Involved: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Moderator, author, reviewers, recorder, possibly a manager.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Formal review of the Software Requirements Specification (SRS) before sign-off.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Very thorough and repeatable.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Time-consuming, requires planning.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qcn6qht76lx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Management Review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(less common in ISTQB, more in project governance)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 of project progress, budget, and risks, not just artifacts.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 alignment with business objectives.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Who’s Involved: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Project managers, sponsors, executives.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Reviewing milestone completion before approving the next phase.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Hierarchy of Formality:</w:t>
        <w:br w:type="textWrapping"/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Informal Review → Walkthrough → Technical Review → Inspection</w:t>
        <w:br w:type="textWrapping"/>
        <w:t xml:space="preserve"> (Formality, effort, and documentation increase as you move right).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