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ulizy53153" w:id="0"/>
      <w:bookmarkEnd w:id="0"/>
      <w:r w:rsidDel="00000000" w:rsidR="00000000" w:rsidRPr="00000000">
        <w:rPr>
          <w:rtl w:val="0"/>
        </w:rPr>
        <w:t xml:space="preserve">Management Review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33bdvpz4cw2" w:id="1"/>
      <w:bookmarkEnd w:id="1"/>
      <w:r w:rsidDel="00000000" w:rsidR="00000000" w:rsidRPr="00000000">
        <w:rPr>
          <w:rtl w:val="0"/>
        </w:rPr>
        <w:t xml:space="preserve">What is Management Review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Management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 evaluation of the project’s progress, resources, and alignment with business goals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conducted by management rather than technical peers.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about finding bugs in code or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it’s about making sure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is on track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terms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scope, cost, schedule, risks, and 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mlj74d995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Points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that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(and the project itself) meets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business, contractual, and regulatory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is involved: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Project Manager / Test Manager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Senior Management / Stakeholders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Possibly QA Leads or Team Leads (to present reports)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Rarely the technical team in detail — focus is higher-level.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it happens: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milestones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key phases (e.g., end of test planning, after a major release cycle).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1slpo3zge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What’s Reviewed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Progress Reports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Are we on schedule?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Budget and Resource Usage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Are we overspending?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Metrics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Defect trends, test coverage, pass/fail rates.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 Management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Are there unresolved high-priority risks?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Compliance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Are we following required standards (ISO, CMMI, FDA, HIPAA, etc.)?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jv4uhdohk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Real-World Example in Testing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Scenario: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phase for an online banking system.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Artifacts Reviewed: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execution summary (95% of planned tests executed, 5% blocked)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report (15 open critical defects, mostly in fund transfer module)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Risk report (integration with payment gateway vendor delayed by 2 weeks)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Budget usage (85% spent, 60% of testing done — risk of budget overrun)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Management Action: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Approve additional budget for 2 more testers to speed up execution.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Prioritize critical defect fixes before moving to UAT.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Escalate vendor integration delay to contract team.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r9dm3hxds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How It Differs from Other Reviews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4490"/>
        <w:gridCol w:w="2255"/>
        <w:tblGridChange w:id="0">
          <w:tblGrid>
            <w:gridCol w:w="2390"/>
            <w:gridCol w:w="4490"/>
            <w:gridCol w:w="2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Review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Conducted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Technical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Technical correctness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Technical peers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Defect detection in artifacts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Trained inspectors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Walkthrough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Understanding and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Peers &amp; stakeholders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Management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Project status, resources, business alignment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Management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