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sz w:val="46"/>
          <w:szCs w:val="46"/>
        </w:rPr>
      </w:pPr>
      <w:bookmarkStart w:colFirst="0" w:colLast="0" w:name="_9pzsba1z3zus" w:id="0"/>
      <w:bookmarkEnd w:id="0"/>
      <w:r w:rsidDel="00000000" w:rsidR="00000000" w:rsidRPr="00000000">
        <w:rPr>
          <w:rtl w:val="0"/>
        </w:rPr>
        <w:t xml:space="preserve">Configuration Identification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rPr/>
      </w:pPr>
      <w:bookmarkStart w:colFirst="0" w:colLast="0" w:name="_bdv264oeub2v" w:id="1"/>
      <w:bookmarkEnd w:id="1"/>
      <w:r w:rsidDel="00000000" w:rsidR="00000000" w:rsidRPr="00000000">
        <w:rPr>
          <w:rtl w:val="0"/>
        </w:rPr>
        <w:t xml:space="preserve">📌 Definition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Configuration Identification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the process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selecting, defining, and uniquely identifying all the Configuration Items (CIs)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a project, along with their versions and relationships.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 answers the question:</w:t>
        <w:br w:type="textWrapping"/>
        <w:t xml:space="preserve"> 👉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“Which items should be controlled, and how do we uniquely recognize them?”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53mir9mqes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🔑 Objectives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Identify what needs to be controlled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e.g., code files, test cases, requirement docs.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Assign unique identifiers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version numbers, IDs, or labels.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Define relationships between items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e.g., which test cases validate which requirements.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Establish baselines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fix approved versions of items.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1yxgyhl0mt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📂 Activities in Configuration Identification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 Configuration Items (CIs)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Requirement docs, source code, test scripts, test environments.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Define Naming Conventions &amp; Labels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REQ-101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TC-Login-05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Build_1.2.0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Version Control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Assign version numbers: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v1.0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v1.1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v2.0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Baseline Creation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Mark stable versions as a reference point for development &amp; testing.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ygwdzam8ej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📘 Example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Hospital Management 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project: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CIs Identified: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Requirements doc: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HMS_REQ_v1.0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Design doc: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HMS_HLD_v1.0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plan: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HMS_TP_v1.0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Source code: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PatientModule_v1.2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case: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TC_Login_OTP_v1.0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Here,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Configuration Identification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ensures that all these items are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uniquely named, versioned, and traceable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7gzppuwlyka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🎯 Why Important?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Avoids confusion (no duplicate or missing items).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traceability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from requirements → design → code → tests.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Forms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foundation of Configuration Management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Supports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audit and compliance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(you know exactly which version was used).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 short: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Configuration Identification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The process of defining, selecting, and uniquely naming all project artifacts (CIs) so they can be controlled, versioned, and traced consistently.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