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85pcuptd8sc" w:id="0"/>
      <w:bookmarkEnd w:id="0"/>
      <w:r w:rsidDel="00000000" w:rsidR="00000000" w:rsidRPr="00000000">
        <w:rPr>
          <w:b w:val="1"/>
          <w:rtl w:val="0"/>
        </w:rPr>
        <w:t xml:space="preserve">International Software Testing Qualifications 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ISTQB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stands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International Software Testing Qualifications 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280" w:lineRule="auto"/>
        <w:rPr/>
      </w:pPr>
      <w:bookmarkStart w:colFirst="0" w:colLast="0" w:name="_5u1h6vbjqv9t" w:id="1"/>
      <w:bookmarkEnd w:id="1"/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global, non-profit organization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defines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standardized certification scheme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software testing.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Founded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2002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now active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130+ countries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through local member boards.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Their main goal is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a common language and best practices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 worldwide.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280" w:lineRule="auto"/>
        <w:rPr/>
      </w:pPr>
      <w:bookmarkStart w:colFirst="0" w:colLast="0" w:name="_tw0rzcb4uqdl" w:id="2"/>
      <w:bookmarkEnd w:id="2"/>
      <w:r w:rsidDel="00000000" w:rsidR="00000000" w:rsidRPr="00000000">
        <w:rPr>
          <w:rtl w:val="0"/>
        </w:rPr>
        <w:t xml:space="preserve">What ISTQB Does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Defines Certification Levels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Foundation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Advanced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Expert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levels for testers.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Specialized certifications for Agile, Mobile, Security, Performance, etc.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Creates Syllabi &amp; Glossary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Provides official study materials and terms used worldwide.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Maintains Testing Standards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Encourages best practices, structured processes, and consistent testing quality.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280" w:lineRule="auto"/>
        <w:rPr/>
      </w:pPr>
      <w:bookmarkStart w:colFirst="0" w:colLast="0" w:name="_rzepawzg4ilu" w:id="3"/>
      <w:bookmarkEnd w:id="3"/>
      <w:r w:rsidDel="00000000" w:rsidR="00000000" w:rsidRPr="00000000">
        <w:rPr>
          <w:rtl w:val="0"/>
        </w:rPr>
        <w:t xml:space="preserve">Why It Matters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International recognition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respected by employers globally.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testers share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common understanding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terms, concepts, and techniques.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career growth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many QA job postings require or prefer ISTQB certification.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Promotes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and efficiency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delivery.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If you say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"boundary value analysis"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Egypt, Germany, or Japan, an ISTQB-certified tester in each country will understand exactly what you mean — thanks to ISTQB’s standardized glossary.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