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sop3ashgr8v" w:id="0"/>
      <w:bookmarkEnd w:id="0"/>
      <w:r w:rsidDel="00000000" w:rsidR="00000000" w:rsidRPr="00000000">
        <w:rPr>
          <w:rtl w:val="0"/>
        </w:rPr>
        <w:t xml:space="preserve">General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k64bykrr3e4" w:id="1"/>
      <w:bookmarkEnd w:id="1"/>
      <w:r w:rsidDel="00000000" w:rsidR="00000000" w:rsidRPr="00000000">
        <w:rPr>
          <w:rtl w:val="0"/>
        </w:rPr>
        <w:t xml:space="preserve">🗣️ What is General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General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words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everyday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across a wide range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non-specialized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contexts. These words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commonly understood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most speakers of the language and are not tied to any specific domain or discipline.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cmct38eyiuh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60"/>
        <w:tblGridChange w:id="0">
          <w:tblGrid>
            <w:gridCol w:w="2375"/>
            <w:gridCol w:w="6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across all four language skills: listening, speaking, reading,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 conversation, informal writing, news, instructions,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informal to neutral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Development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Natural language exposure (e.g., media, interaction, reading)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sk8mrs8wg7qb" w:id="3"/>
      <w:bookmarkEnd w:id="3"/>
      <w:r w:rsidDel="00000000" w:rsidR="00000000" w:rsidRPr="00000000">
        <w:rPr>
          <w:rtl w:val="0"/>
        </w:rPr>
        <w:t xml:space="preserve">🧠 Examples: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855"/>
        <w:tblGridChange w:id="0">
          <w:tblGrid>
            <w:gridCol w:w="149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car, house, food,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eat, go, make, know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big, happy, blue,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quickly, always, never, 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in, on, under, after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dzqhy5ifryp4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Everyone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Native speakers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learners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Children acquiring vocabulary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Adults in daily communication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omo4fmn5297z" w:id="5"/>
      <w:bookmarkEnd w:id="5"/>
      <w:r w:rsidDel="00000000" w:rsidR="00000000" w:rsidRPr="00000000">
        <w:rPr>
          <w:rtl w:val="0"/>
        </w:rPr>
        <w:t xml:space="preserve">📌 Related Vocabulary Types: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270"/>
        <w:gridCol w:w="3620"/>
        <w:tblGridChange w:id="0">
          <w:tblGrid>
            <w:gridCol w:w="2345"/>
            <w:gridCol w:w="2270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need to go to the store.”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Field-specific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“Bandwidth,” “polymer,” “verdict”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and scholarly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“Assess,” “interpret,” “hypothesis”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