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280" w:lineRule="auto"/>
        <w:rPr/>
      </w:pPr>
      <w:bookmarkStart w:colFirst="0" w:colLast="0" w:name="_miacfptiwxx6" w:id="0"/>
      <w:bookmarkEnd w:id="0"/>
      <w:r w:rsidDel="00000000" w:rsidR="00000000" w:rsidRPr="00000000">
        <w:rPr>
          <w:rtl w:val="0"/>
        </w:rPr>
        <w:t xml:space="preserve">Types of Modems</w:t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8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3785"/>
        <w:gridCol w:w="2000"/>
        <w:tblGridChange w:id="0">
          <w:tblGrid>
            <w:gridCol w:w="2375"/>
            <w:gridCol w:w="3785"/>
            <w:gridCol w:w="20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 Case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Medium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DSL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telephone-line internet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Copper phone line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Cable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cable internet (Coax)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Coaxial cable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Fiber Modem (ONT)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For fiber optic connections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Fiber line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Dial-Up Modem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Old telephone-line internet (56Kbps)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Analog phone line</w:t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