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E6F8" w14:textId="77777777" w:rsidR="00114B60" w:rsidRDefault="00114B60" w:rsidP="003C002F">
      <w:pPr>
        <w:pStyle w:val="Heading2"/>
        <w:keepNext w:val="0"/>
        <w:keepLines w:val="0"/>
        <w:rPr>
          <w:b/>
          <w:sz w:val="34"/>
          <w:szCs w:val="34"/>
        </w:rPr>
      </w:pPr>
      <w:bookmarkStart w:id="0" w:name="_ulqsqg9p9uvg" w:colFirst="0" w:colLast="0"/>
      <w:bookmarkEnd w:id="0"/>
      <w:r>
        <w:rPr>
          <w:b/>
          <w:sz w:val="34"/>
          <w:szCs w:val="34"/>
        </w:rPr>
        <w:t>Types of Black-Box Techniques</w:t>
      </w:r>
    </w:p>
    <w:p w14:paraId="6B608917" w14:textId="77777777" w:rsidR="00114B60" w:rsidRDefault="00114B60" w:rsidP="003C002F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71781EC1" w14:textId="77777777" w:rsidR="00114B60" w:rsidRDefault="00114B60" w:rsidP="003C002F">
      <w:r>
        <w:rPr>
          <w:noProof/>
        </w:rPr>
        <w:drawing>
          <wp:inline distT="114300" distB="114300" distL="114300" distR="114300" wp14:anchorId="6E348086" wp14:editId="6F337CFA">
            <wp:extent cx="5943600" cy="284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2822"/>
        <w:gridCol w:w="4104"/>
      </w:tblGrid>
      <w:tr w:rsidR="00114B60" w14:paraId="1F842633" w14:textId="77777777" w:rsidTr="00BA482E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C56E" w14:textId="77777777" w:rsidR="00114B60" w:rsidRDefault="00114B60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D56A" w14:textId="77777777" w:rsidR="00114B60" w:rsidRDefault="00114B60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3626" w14:textId="77777777" w:rsidR="00114B60" w:rsidRDefault="00114B60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Example</w:t>
            </w:r>
          </w:p>
        </w:tc>
      </w:tr>
      <w:tr w:rsidR="00114B60" w14:paraId="5634FE6E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3690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Equivalence Partitioning (EP)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0975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inputs that should behave the same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8A7F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age input 18–60: test one value from each group (e.g., 17, 30, 61).</w:t>
            </w:r>
          </w:p>
        </w:tc>
      </w:tr>
      <w:tr w:rsidR="00114B60" w14:paraId="57F7E27E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A910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Boundary Value Analysis (BVA)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A242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edge values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707A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max transfer is $10,000: test $9,999, $10,000, $10,001.</w:t>
            </w:r>
          </w:p>
        </w:tc>
      </w:tr>
      <w:tr w:rsidR="00114B60" w14:paraId="011917D2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E472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Decision Table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E019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Handle combinations of conditions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1480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loan approval: income level × credit score.</w:t>
            </w:r>
          </w:p>
        </w:tc>
      </w:tr>
      <w:tr w:rsidR="00114B60" w14:paraId="6D5CB145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71EF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 Transition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C2D5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system behavior in different states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D1EA0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ATM: "Card Inserted" → "Enter PIN" → "Select Transaction".</w:t>
            </w:r>
          </w:p>
        </w:tc>
      </w:tr>
      <w:tr w:rsidR="00114B60" w14:paraId="75E5BF53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99968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EFA4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real-world user flows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3DA5" w14:textId="77777777" w:rsidR="00114B60" w:rsidRDefault="00114B60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Buying an item online: Search → Add to Cart → Checkout.</w:t>
            </w:r>
          </w:p>
        </w:tc>
      </w:tr>
    </w:tbl>
    <w:p w14:paraId="09E9D1EF" w14:textId="77777777" w:rsidR="00114B60" w:rsidRDefault="00114B60" w:rsidP="003C002F"/>
    <w:p w14:paraId="6A277E2F" w14:textId="77777777" w:rsidR="00114B60" w:rsidRDefault="00114B60"/>
    <w:p w14:paraId="0820D2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60"/>
    <w:rsid w:val="00114B60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2688"/>
  <w15:chartTrackingRefBased/>
  <w15:docId w15:val="{ED9BB5EE-CD01-4BDE-9AAC-6305E968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